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82" w:type="dxa"/>
        <w:tblInd w:w="-432" w:type="dxa"/>
        <w:tblLayout w:type="fixed"/>
        <w:tblLook w:val="04A0" w:firstRow="1" w:lastRow="0" w:firstColumn="1" w:lastColumn="0" w:noHBand="0" w:noVBand="1"/>
      </w:tblPr>
      <w:tblGrid>
        <w:gridCol w:w="2317"/>
        <w:gridCol w:w="3565"/>
        <w:gridCol w:w="3905"/>
        <w:gridCol w:w="4195"/>
      </w:tblGrid>
      <w:tr w:rsidR="0055024C" w:rsidRPr="003E3BEC" w14:paraId="1BEC36A7" w14:textId="77777777" w:rsidTr="006A5C7C">
        <w:tc>
          <w:tcPr>
            <w:tcW w:w="2317" w:type="dxa"/>
          </w:tcPr>
          <w:p w14:paraId="17B02256" w14:textId="03A2DA37" w:rsidR="0055024C" w:rsidRPr="00EE7664" w:rsidRDefault="0055024C" w:rsidP="008C3F4F">
            <w:pPr>
              <w:rPr>
                <w:rFonts w:cs="Times New Roman"/>
              </w:rPr>
            </w:pPr>
            <w:r w:rsidRPr="00EE7664">
              <w:rPr>
                <w:rFonts w:cs="Times New Roman"/>
              </w:rPr>
              <w:t>Chapter 1</w:t>
            </w:r>
          </w:p>
        </w:tc>
        <w:tc>
          <w:tcPr>
            <w:tcW w:w="3565" w:type="dxa"/>
          </w:tcPr>
          <w:p w14:paraId="5B21F729" w14:textId="57B03454" w:rsidR="0055024C" w:rsidRPr="00EE7664" w:rsidRDefault="0055024C" w:rsidP="0055024C">
            <w:pPr>
              <w:rPr>
                <w:rFonts w:cs="Times New Roman"/>
              </w:rPr>
            </w:pPr>
          </w:p>
        </w:tc>
        <w:tc>
          <w:tcPr>
            <w:tcW w:w="3905" w:type="dxa"/>
          </w:tcPr>
          <w:p w14:paraId="2F21F7F1" w14:textId="0460A859" w:rsidR="0055024C" w:rsidRPr="00EE7664" w:rsidRDefault="0055024C" w:rsidP="0055024C">
            <w:pPr>
              <w:rPr>
                <w:rFonts w:cs="Times New Roman"/>
              </w:rPr>
            </w:pPr>
          </w:p>
        </w:tc>
        <w:tc>
          <w:tcPr>
            <w:tcW w:w="4195" w:type="dxa"/>
          </w:tcPr>
          <w:p w14:paraId="4531A0A2" w14:textId="7DCF4863" w:rsidR="0055024C" w:rsidRPr="00EE7664" w:rsidRDefault="008C3F4F" w:rsidP="0055024C">
            <w:pPr>
              <w:rPr>
                <w:rFonts w:cs="Times New Roman"/>
              </w:rPr>
            </w:pPr>
            <w:r w:rsidRPr="00EE7664">
              <w:rPr>
                <w:rFonts w:cs="Times New Roman"/>
              </w:rPr>
              <w:t xml:space="preserve">Language was clarified and/or updated throughout to reflect current strategic direction, </w:t>
            </w:r>
            <w:r w:rsidR="00A72873">
              <w:rPr>
                <w:rFonts w:cs="Times New Roman"/>
              </w:rPr>
              <w:t xml:space="preserve">changes in processes due to </w:t>
            </w:r>
            <w:r w:rsidR="00590AF8" w:rsidRPr="00EE7664">
              <w:rPr>
                <w:rFonts w:cs="Times New Roman"/>
              </w:rPr>
              <w:t>administrative/new technical structures,</w:t>
            </w:r>
            <w:r w:rsidR="00EE7664" w:rsidRPr="00EE7664">
              <w:rPr>
                <w:rFonts w:cs="Times New Roman"/>
              </w:rPr>
              <w:t xml:space="preserve"> </w:t>
            </w:r>
            <w:r w:rsidRPr="00EE7664">
              <w:rPr>
                <w:rFonts w:cs="Times New Roman"/>
              </w:rPr>
              <w:t xml:space="preserve">and </w:t>
            </w:r>
            <w:r w:rsidR="00A72873">
              <w:rPr>
                <w:rFonts w:cs="Times New Roman"/>
              </w:rPr>
              <w:t xml:space="preserve">current </w:t>
            </w:r>
            <w:r w:rsidRPr="00EE7664">
              <w:rPr>
                <w:rFonts w:cs="Times New Roman"/>
              </w:rPr>
              <w:t>Graduate School/Program practices.</w:t>
            </w:r>
          </w:p>
        </w:tc>
      </w:tr>
      <w:tr w:rsidR="00C71257" w:rsidRPr="003E3BEC" w14:paraId="5FE3DD68" w14:textId="77777777" w:rsidTr="006A5C7C">
        <w:tc>
          <w:tcPr>
            <w:tcW w:w="2317" w:type="dxa"/>
          </w:tcPr>
          <w:p w14:paraId="69CFEB05" w14:textId="1AFB642E" w:rsidR="00C71257" w:rsidRPr="00EE7664" w:rsidRDefault="00C71257" w:rsidP="0055024C">
            <w:pPr>
              <w:rPr>
                <w:rFonts w:cs="Times New Roman"/>
              </w:rPr>
            </w:pPr>
            <w:r>
              <w:rPr>
                <w:rFonts w:cs="Times New Roman"/>
              </w:rPr>
              <w:t>Chapter 2</w:t>
            </w:r>
          </w:p>
        </w:tc>
        <w:tc>
          <w:tcPr>
            <w:tcW w:w="3565" w:type="dxa"/>
          </w:tcPr>
          <w:p w14:paraId="687806E4" w14:textId="77777777" w:rsidR="00C71257" w:rsidRPr="00EE7664" w:rsidRDefault="00C71257" w:rsidP="008C3F4F">
            <w:pPr>
              <w:rPr>
                <w:rFonts w:cs="Times New Roman"/>
              </w:rPr>
            </w:pPr>
          </w:p>
        </w:tc>
        <w:tc>
          <w:tcPr>
            <w:tcW w:w="3905" w:type="dxa"/>
          </w:tcPr>
          <w:p w14:paraId="5FAD3E21" w14:textId="77777777" w:rsidR="00C71257" w:rsidRPr="00EE7664" w:rsidRDefault="00C71257" w:rsidP="008C3F4F">
            <w:pPr>
              <w:shd w:val="clear" w:color="auto" w:fill="FFFFFF"/>
              <w:outlineLvl w:val="2"/>
            </w:pPr>
          </w:p>
        </w:tc>
        <w:tc>
          <w:tcPr>
            <w:tcW w:w="4195" w:type="dxa"/>
          </w:tcPr>
          <w:p w14:paraId="14356802" w14:textId="2972D747" w:rsidR="00C71257" w:rsidRDefault="00C71257" w:rsidP="002045A1">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tc>
      </w:tr>
      <w:tr w:rsidR="0055024C" w:rsidRPr="003E3BEC" w14:paraId="62F9B2CD" w14:textId="77777777" w:rsidTr="006A5C7C">
        <w:tc>
          <w:tcPr>
            <w:tcW w:w="2317" w:type="dxa"/>
          </w:tcPr>
          <w:p w14:paraId="458015D0" w14:textId="154E9E74" w:rsidR="0055024C" w:rsidRPr="00EE7664" w:rsidRDefault="008C3F4F" w:rsidP="0055024C">
            <w:pPr>
              <w:rPr>
                <w:rFonts w:cs="Times New Roman"/>
              </w:rPr>
            </w:pPr>
            <w:r w:rsidRPr="00EE7664">
              <w:rPr>
                <w:rFonts w:cs="Times New Roman"/>
              </w:rPr>
              <w:t xml:space="preserve">Chapter 2, Section B.1 </w:t>
            </w:r>
          </w:p>
        </w:tc>
        <w:tc>
          <w:tcPr>
            <w:tcW w:w="3565" w:type="dxa"/>
          </w:tcPr>
          <w:p w14:paraId="5DD1A61A" w14:textId="2FEB6458" w:rsidR="0055024C" w:rsidRPr="00EE7664" w:rsidRDefault="008C3F4F" w:rsidP="008C3F4F">
            <w:pPr>
              <w:rPr>
                <w:rFonts w:cs="Times New Roman"/>
              </w:rPr>
            </w:pPr>
            <w:r w:rsidRPr="00EE7664">
              <w:rPr>
                <w:rFonts w:cs="Times New Roman"/>
              </w:rPr>
              <w:t>Six credits taken as an NADC student could apply toward a thesis master’s degree; nine toward a non-thesis or doctoral degree.</w:t>
            </w:r>
          </w:p>
        </w:tc>
        <w:tc>
          <w:tcPr>
            <w:tcW w:w="3905" w:type="dxa"/>
          </w:tcPr>
          <w:p w14:paraId="7FB005DE" w14:textId="159CE5F3" w:rsidR="008C3F4F" w:rsidRPr="00EE7664" w:rsidRDefault="008C3F4F" w:rsidP="008C3F4F">
            <w:pPr>
              <w:shd w:val="clear" w:color="auto" w:fill="FFFFFF"/>
              <w:outlineLvl w:val="2"/>
            </w:pPr>
            <w:r w:rsidRPr="00EE7664">
              <w:t>A maximum of twelve (12) hours of graduate course work (500-level) with grades of “B” or higher earned under NADC classification may be used on the program of study if approved by the committee and the program.</w:t>
            </w:r>
          </w:p>
          <w:p w14:paraId="3F2E4816" w14:textId="39B15702" w:rsidR="001258A2" w:rsidRPr="00EE7664" w:rsidRDefault="001258A2" w:rsidP="008C3F4F">
            <w:pPr>
              <w:shd w:val="clear" w:color="auto" w:fill="FFFFFF"/>
              <w:outlineLvl w:val="2"/>
            </w:pPr>
          </w:p>
          <w:p w14:paraId="492662F9" w14:textId="77777777" w:rsidR="001258A2" w:rsidRPr="00EE7664" w:rsidRDefault="001258A2" w:rsidP="001258A2">
            <w:pPr>
              <w:shd w:val="clear" w:color="auto" w:fill="FFFFFF"/>
              <w:outlineLvl w:val="2"/>
              <w:rPr>
                <w:b/>
              </w:rPr>
            </w:pPr>
            <w:r w:rsidRPr="00EE7664">
              <w:t>For 300 and/or 400-level course work with grades of “B” or higher earned under NADC classification, a maximum of six (6) hours for a thesis master’s or nine (9) for a non-thesis master’s and doctoral degree may be applied to graduate degree requirements on the program of study if approved by the committee and the program.</w:t>
            </w:r>
          </w:p>
          <w:p w14:paraId="6363BB58" w14:textId="77777777" w:rsidR="001258A2" w:rsidRPr="00EE7664" w:rsidRDefault="001258A2" w:rsidP="008C3F4F">
            <w:pPr>
              <w:shd w:val="clear" w:color="auto" w:fill="FFFFFF"/>
              <w:outlineLvl w:val="2"/>
            </w:pPr>
          </w:p>
          <w:p w14:paraId="4EDE0F9B" w14:textId="0B2710B0" w:rsidR="0055024C" w:rsidRPr="00EE7664" w:rsidRDefault="0055024C" w:rsidP="0055024C">
            <w:pPr>
              <w:rPr>
                <w:rFonts w:cs="Times New Roman"/>
              </w:rPr>
            </w:pPr>
          </w:p>
        </w:tc>
        <w:tc>
          <w:tcPr>
            <w:tcW w:w="4195" w:type="dxa"/>
          </w:tcPr>
          <w:p w14:paraId="18CC255A" w14:textId="5BD1A329" w:rsidR="0055024C" w:rsidRPr="00EE7664" w:rsidRDefault="00EE7664" w:rsidP="002045A1">
            <w:pPr>
              <w:rPr>
                <w:rFonts w:cs="Times New Roman"/>
              </w:rPr>
            </w:pPr>
            <w:r>
              <w:rPr>
                <w:rFonts w:cs="Times New Roman"/>
              </w:rPr>
              <w:t>With this policy change, s</w:t>
            </w:r>
            <w:r w:rsidR="001258A2" w:rsidRPr="00EE7664">
              <w:rPr>
                <w:rFonts w:cs="Times New Roman"/>
              </w:rPr>
              <w:t>tudents will be able to use more NADC course work toward a graduate degree</w:t>
            </w:r>
          </w:p>
          <w:p w14:paraId="4BFFC5F5" w14:textId="77777777" w:rsidR="00D273B7" w:rsidRPr="00EE7664" w:rsidRDefault="00D273B7" w:rsidP="002045A1">
            <w:pPr>
              <w:rPr>
                <w:rFonts w:cs="Times New Roman"/>
              </w:rPr>
            </w:pPr>
          </w:p>
          <w:p w14:paraId="3809972F" w14:textId="59C934DC" w:rsidR="00D273B7" w:rsidRPr="00EE7664" w:rsidRDefault="00D273B7" w:rsidP="00EE7664">
            <w:pPr>
              <w:rPr>
                <w:rFonts w:cs="Times New Roman"/>
              </w:rPr>
            </w:pPr>
            <w:r w:rsidRPr="00EE7664">
              <w:rPr>
                <w:rFonts w:cs="Times New Roman"/>
              </w:rPr>
              <w:t xml:space="preserve">This </w:t>
            </w:r>
            <w:r w:rsidR="00EE7664">
              <w:rPr>
                <w:rFonts w:cs="Times New Roman"/>
              </w:rPr>
              <w:t>policy change</w:t>
            </w:r>
            <w:r w:rsidRPr="00EE7664">
              <w:rPr>
                <w:rFonts w:cs="Times New Roman"/>
              </w:rPr>
              <w:t xml:space="preserve"> is also found in Chapter 4, Admissions, and Chapter 6, Academic Requirements.</w:t>
            </w:r>
          </w:p>
        </w:tc>
      </w:tr>
      <w:tr w:rsidR="008C3F4F" w:rsidRPr="003E3BEC" w14:paraId="220C929C" w14:textId="77777777" w:rsidTr="006A5C7C">
        <w:tc>
          <w:tcPr>
            <w:tcW w:w="2317" w:type="dxa"/>
          </w:tcPr>
          <w:p w14:paraId="50BA5F53" w14:textId="427A555E" w:rsidR="008C3F4F" w:rsidRPr="00EE7664" w:rsidRDefault="008C3F4F" w:rsidP="008C3F4F">
            <w:pPr>
              <w:rPr>
                <w:rFonts w:cs="Times New Roman"/>
              </w:rPr>
            </w:pPr>
            <w:r w:rsidRPr="00EE7664">
              <w:rPr>
                <w:rFonts w:cs="Times New Roman"/>
              </w:rPr>
              <w:lastRenderedPageBreak/>
              <w:t xml:space="preserve">Chapter 2, Section B.3 </w:t>
            </w:r>
          </w:p>
        </w:tc>
        <w:tc>
          <w:tcPr>
            <w:tcW w:w="3565" w:type="dxa"/>
          </w:tcPr>
          <w:p w14:paraId="18E7C367" w14:textId="486F81E8" w:rsidR="008C3F4F" w:rsidRPr="00EE7664" w:rsidRDefault="008C3F4F" w:rsidP="008C3F4F">
            <w:pPr>
              <w:rPr>
                <w:rFonts w:cs="Times New Roman"/>
              </w:rPr>
            </w:pPr>
            <w:r w:rsidRPr="00EE7664">
              <w:rPr>
                <w:rFonts w:cs="Times New Roman"/>
              </w:rPr>
              <w:t>Six credits taken as a non-degree graduate student could apply toward a graduate degree.</w:t>
            </w:r>
          </w:p>
        </w:tc>
        <w:tc>
          <w:tcPr>
            <w:tcW w:w="3905" w:type="dxa"/>
          </w:tcPr>
          <w:p w14:paraId="1502B6CF" w14:textId="438F5B7A" w:rsidR="008C3F4F" w:rsidRPr="00EE7664" w:rsidRDefault="008C3F4F" w:rsidP="008C3F4F">
            <w:pPr>
              <w:shd w:val="clear" w:color="auto" w:fill="FFFFFF"/>
              <w:outlineLvl w:val="2"/>
            </w:pPr>
            <w:r w:rsidRPr="00EE7664">
              <w:t>A maximum of twelve (12) hours of graduate course work (500-level) with grades of “B” or higher earned under the non-degree graduate classification may be used on the program of study if approved by the committee and the program.</w:t>
            </w:r>
          </w:p>
          <w:p w14:paraId="6DB536ED" w14:textId="1B21040A" w:rsidR="008C3F4F" w:rsidRPr="00EE7664" w:rsidRDefault="008C3F4F" w:rsidP="008C3F4F">
            <w:pPr>
              <w:shd w:val="clear" w:color="auto" w:fill="FFFFFF"/>
              <w:outlineLvl w:val="2"/>
            </w:pPr>
          </w:p>
          <w:p w14:paraId="5CA4A862" w14:textId="56E223B3" w:rsidR="008C3F4F" w:rsidRPr="00EE7664" w:rsidRDefault="008C3F4F" w:rsidP="008C3F4F">
            <w:pPr>
              <w:shd w:val="clear" w:color="auto" w:fill="FFFFFF"/>
              <w:outlineLvl w:val="2"/>
              <w:rPr>
                <w:b/>
              </w:rPr>
            </w:pPr>
            <w:r w:rsidRPr="00EE7664">
              <w:t xml:space="preserve">For 300 and/or 400-level course work with grades of “B” or higher earned under </w:t>
            </w:r>
            <w:r w:rsidR="001258A2" w:rsidRPr="00EE7664">
              <w:t>the non-degree graduate</w:t>
            </w:r>
            <w:r w:rsidRPr="00EE7664">
              <w:t xml:space="preserve"> classification, a maximum of six (6) hours for a thesis master’s or nine (9) for a non-thesis master’s and doctoral degree may be applied to graduate degree requirements on the program of study if approved by the committee and the program.</w:t>
            </w:r>
          </w:p>
          <w:p w14:paraId="0E400E81" w14:textId="77777777" w:rsidR="008C3F4F" w:rsidRPr="00EE7664" w:rsidRDefault="008C3F4F" w:rsidP="008C3F4F">
            <w:pPr>
              <w:rPr>
                <w:rFonts w:cs="Times New Roman"/>
              </w:rPr>
            </w:pPr>
          </w:p>
        </w:tc>
        <w:tc>
          <w:tcPr>
            <w:tcW w:w="4195" w:type="dxa"/>
          </w:tcPr>
          <w:p w14:paraId="0BDA5F93" w14:textId="67D20076" w:rsidR="008C3F4F" w:rsidRPr="00EE7664" w:rsidRDefault="00EE7664" w:rsidP="008C3F4F">
            <w:pPr>
              <w:rPr>
                <w:rFonts w:cs="Times New Roman"/>
              </w:rPr>
            </w:pPr>
            <w:r>
              <w:rPr>
                <w:rFonts w:cs="Times New Roman"/>
              </w:rPr>
              <w:t>With this policy change, the n</w:t>
            </w:r>
            <w:r w:rsidR="001258A2" w:rsidRPr="00EE7664">
              <w:rPr>
                <w:rFonts w:cs="Times New Roman"/>
              </w:rPr>
              <w:t>on-degree graduate classification is aligned with the NADC classification regarding number of credits that can be used toward a graduate degree.</w:t>
            </w:r>
          </w:p>
          <w:p w14:paraId="64C3DECF" w14:textId="77777777" w:rsidR="00D273B7" w:rsidRPr="00EE7664" w:rsidRDefault="00D273B7" w:rsidP="008C3F4F">
            <w:pPr>
              <w:rPr>
                <w:rFonts w:cs="Times New Roman"/>
              </w:rPr>
            </w:pPr>
          </w:p>
          <w:p w14:paraId="4A79144C" w14:textId="57B31276" w:rsidR="00D273B7" w:rsidRPr="00EE7664" w:rsidRDefault="00D273B7" w:rsidP="00EE7664">
            <w:pPr>
              <w:rPr>
                <w:rFonts w:cs="Times New Roman"/>
              </w:rPr>
            </w:pPr>
            <w:r w:rsidRPr="00EE7664">
              <w:rPr>
                <w:rFonts w:cs="Times New Roman"/>
              </w:rPr>
              <w:t xml:space="preserve">This </w:t>
            </w:r>
            <w:r w:rsidR="00EE7664">
              <w:rPr>
                <w:rFonts w:cs="Times New Roman"/>
              </w:rPr>
              <w:t>policy change</w:t>
            </w:r>
            <w:r w:rsidRPr="00EE7664">
              <w:rPr>
                <w:rFonts w:cs="Times New Roman"/>
              </w:rPr>
              <w:t xml:space="preserve"> is also found in Chapter 4, Admissions, and Chapter 6, Academic Requirements.</w:t>
            </w:r>
          </w:p>
        </w:tc>
      </w:tr>
      <w:tr w:rsidR="00496599" w:rsidRPr="003E3BEC" w14:paraId="110E27AB" w14:textId="77777777" w:rsidTr="006A5C7C">
        <w:tc>
          <w:tcPr>
            <w:tcW w:w="2317" w:type="dxa"/>
          </w:tcPr>
          <w:p w14:paraId="2D11CDB6" w14:textId="067302E4" w:rsidR="00496599" w:rsidRPr="00EE7664" w:rsidRDefault="00496599" w:rsidP="00D273B7">
            <w:pPr>
              <w:rPr>
                <w:rFonts w:cs="Times New Roman"/>
              </w:rPr>
            </w:pPr>
            <w:r>
              <w:rPr>
                <w:rFonts w:cs="Times New Roman"/>
              </w:rPr>
              <w:t>Chapter 2, Section D.</w:t>
            </w:r>
          </w:p>
        </w:tc>
        <w:tc>
          <w:tcPr>
            <w:tcW w:w="3565" w:type="dxa"/>
          </w:tcPr>
          <w:p w14:paraId="1F0D95BD" w14:textId="323676B2" w:rsidR="00496599" w:rsidRPr="00EE7664" w:rsidRDefault="00496599" w:rsidP="008C3F4F">
            <w:pPr>
              <w:rPr>
                <w:rFonts w:cs="Times New Roman"/>
              </w:rPr>
            </w:pPr>
            <w:r>
              <w:rPr>
                <w:rFonts w:cs="Times New Roman"/>
              </w:rPr>
              <w:t>Policy for visiting international graduate students and reciprocal exchange graduate students</w:t>
            </w:r>
          </w:p>
        </w:tc>
        <w:tc>
          <w:tcPr>
            <w:tcW w:w="3905" w:type="dxa"/>
          </w:tcPr>
          <w:p w14:paraId="6736263C" w14:textId="71DBD90B" w:rsidR="00496599" w:rsidRPr="00EE7664" w:rsidRDefault="00496599" w:rsidP="00496599">
            <w:pPr>
              <w:rPr>
                <w:rFonts w:cs="Times New Roman"/>
              </w:rPr>
            </w:pPr>
            <w:r>
              <w:rPr>
                <w:rFonts w:cs="Times New Roman"/>
              </w:rPr>
              <w:t xml:space="preserve">Deleted reciprocal exchange graduate students and information related to WSU education abroad.  </w:t>
            </w:r>
          </w:p>
        </w:tc>
        <w:tc>
          <w:tcPr>
            <w:tcW w:w="4195" w:type="dxa"/>
          </w:tcPr>
          <w:p w14:paraId="2365BCF1" w14:textId="5AFD04C6" w:rsidR="00496599" w:rsidRPr="00EE7664" w:rsidRDefault="00496599" w:rsidP="00496599">
            <w:pPr>
              <w:rPr>
                <w:rFonts w:cs="Times New Roman"/>
              </w:rPr>
            </w:pPr>
            <w:r>
              <w:rPr>
                <w:rFonts w:cs="Times New Roman"/>
              </w:rPr>
              <w:t>There is no active reciprocal exchange program for graduate students (there may have been one many years ago).  Currently any exchange programs for graduate students are approved by the Graduate School, International Programs and the Provost’s Office via special international agreements with the partner university.</w:t>
            </w:r>
          </w:p>
        </w:tc>
      </w:tr>
      <w:tr w:rsidR="00C71257" w:rsidRPr="003E3BEC" w14:paraId="5EA80ACB" w14:textId="77777777" w:rsidTr="006A5C7C">
        <w:tc>
          <w:tcPr>
            <w:tcW w:w="2317" w:type="dxa"/>
          </w:tcPr>
          <w:p w14:paraId="363261C7" w14:textId="36769E2C" w:rsidR="00C71257" w:rsidRDefault="00C71257" w:rsidP="00D273B7">
            <w:pPr>
              <w:rPr>
                <w:rFonts w:cs="Times New Roman"/>
              </w:rPr>
            </w:pPr>
            <w:r>
              <w:rPr>
                <w:rFonts w:cs="Times New Roman"/>
              </w:rPr>
              <w:t>Chapter 3</w:t>
            </w:r>
          </w:p>
        </w:tc>
        <w:tc>
          <w:tcPr>
            <w:tcW w:w="3565" w:type="dxa"/>
          </w:tcPr>
          <w:p w14:paraId="45DDDDD1" w14:textId="77777777" w:rsidR="00C71257" w:rsidRDefault="00C71257" w:rsidP="008C3F4F">
            <w:pPr>
              <w:rPr>
                <w:rFonts w:cs="Times New Roman"/>
              </w:rPr>
            </w:pPr>
          </w:p>
        </w:tc>
        <w:tc>
          <w:tcPr>
            <w:tcW w:w="3905" w:type="dxa"/>
          </w:tcPr>
          <w:p w14:paraId="6B93828D" w14:textId="77777777" w:rsidR="00C71257" w:rsidRDefault="00C71257" w:rsidP="008C3F4F">
            <w:pPr>
              <w:rPr>
                <w:rFonts w:cs="Times New Roman"/>
              </w:rPr>
            </w:pPr>
          </w:p>
        </w:tc>
        <w:tc>
          <w:tcPr>
            <w:tcW w:w="4195" w:type="dxa"/>
          </w:tcPr>
          <w:p w14:paraId="15043D15" w14:textId="5BD099EE" w:rsidR="00C71257" w:rsidRDefault="00C71257" w:rsidP="008C3F4F">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w:t>
            </w:r>
            <w:r w:rsidRPr="00EE7664">
              <w:rPr>
                <w:rFonts w:cs="Times New Roman"/>
              </w:rPr>
              <w:lastRenderedPageBreak/>
              <w:t xml:space="preserve">and </w:t>
            </w:r>
            <w:r>
              <w:rPr>
                <w:rFonts w:cs="Times New Roman"/>
              </w:rPr>
              <w:t xml:space="preserve">current </w:t>
            </w:r>
            <w:r w:rsidRPr="00EE7664">
              <w:rPr>
                <w:rFonts w:cs="Times New Roman"/>
              </w:rPr>
              <w:t>Graduate School/Program practices.</w:t>
            </w:r>
          </w:p>
        </w:tc>
      </w:tr>
      <w:tr w:rsidR="001A4C88" w:rsidRPr="003E3BEC" w14:paraId="334827C6" w14:textId="77777777" w:rsidTr="006A5C7C">
        <w:tc>
          <w:tcPr>
            <w:tcW w:w="2317" w:type="dxa"/>
          </w:tcPr>
          <w:p w14:paraId="0AD97135" w14:textId="43A71952" w:rsidR="001A4C88" w:rsidRPr="00EE7664" w:rsidRDefault="001A4C88" w:rsidP="00D273B7">
            <w:pPr>
              <w:rPr>
                <w:rFonts w:cs="Times New Roman"/>
              </w:rPr>
            </w:pPr>
            <w:r>
              <w:rPr>
                <w:rFonts w:cs="Times New Roman"/>
              </w:rPr>
              <w:lastRenderedPageBreak/>
              <w:t>Chapter 3, Section B.</w:t>
            </w:r>
          </w:p>
        </w:tc>
        <w:tc>
          <w:tcPr>
            <w:tcW w:w="3565" w:type="dxa"/>
          </w:tcPr>
          <w:p w14:paraId="52D8AA29" w14:textId="760C2293" w:rsidR="001A4C88" w:rsidRPr="00EE7664" w:rsidRDefault="001A4C88" w:rsidP="008C3F4F">
            <w:pPr>
              <w:rPr>
                <w:rFonts w:cs="Times New Roman"/>
              </w:rPr>
            </w:pPr>
            <w:r>
              <w:rPr>
                <w:rFonts w:cs="Times New Roman"/>
              </w:rPr>
              <w:t>Graduate Programs at Multiple campuses</w:t>
            </w:r>
          </w:p>
        </w:tc>
        <w:tc>
          <w:tcPr>
            <w:tcW w:w="3905" w:type="dxa"/>
          </w:tcPr>
          <w:p w14:paraId="5D04D1AA" w14:textId="42FF79C2" w:rsidR="001A4C88" w:rsidRPr="00EE7664" w:rsidRDefault="001A4C88" w:rsidP="008C3F4F">
            <w:pPr>
              <w:rPr>
                <w:rFonts w:cs="Times New Roman"/>
              </w:rPr>
            </w:pPr>
            <w:r>
              <w:rPr>
                <w:rFonts w:cs="Times New Roman"/>
              </w:rPr>
              <w:t>Language was inserted that describes three options for graduate students to engage in graduate education at locations that do not offer formal degrees.</w:t>
            </w:r>
          </w:p>
        </w:tc>
        <w:tc>
          <w:tcPr>
            <w:tcW w:w="4195" w:type="dxa"/>
          </w:tcPr>
          <w:p w14:paraId="1CEC60BE" w14:textId="7663FC67" w:rsidR="001A4C88" w:rsidRPr="00EE7664" w:rsidRDefault="001A4C88" w:rsidP="008C3F4F">
            <w:pPr>
              <w:rPr>
                <w:rFonts w:cs="Times New Roman"/>
              </w:rPr>
            </w:pPr>
            <w:r>
              <w:rPr>
                <w:rFonts w:cs="Times New Roman"/>
              </w:rPr>
              <w:t>(From Multi-campus Taskforce)</w:t>
            </w:r>
          </w:p>
        </w:tc>
      </w:tr>
      <w:tr w:rsidR="008C3F4F" w:rsidRPr="003E3BEC" w14:paraId="158D94D6" w14:textId="77777777" w:rsidTr="006A5C7C">
        <w:tc>
          <w:tcPr>
            <w:tcW w:w="2317" w:type="dxa"/>
          </w:tcPr>
          <w:p w14:paraId="4FF9694D" w14:textId="09A0BBD3" w:rsidR="008C3F4F" w:rsidRPr="00EE7664" w:rsidRDefault="007D4E5B" w:rsidP="00D273B7">
            <w:pPr>
              <w:rPr>
                <w:rFonts w:cs="Times New Roman"/>
              </w:rPr>
            </w:pPr>
            <w:r w:rsidRPr="00EE7664">
              <w:rPr>
                <w:rFonts w:cs="Times New Roman"/>
              </w:rPr>
              <w:t>Chapter 3, Section E.</w:t>
            </w:r>
          </w:p>
        </w:tc>
        <w:tc>
          <w:tcPr>
            <w:tcW w:w="3565" w:type="dxa"/>
          </w:tcPr>
          <w:p w14:paraId="2E499780" w14:textId="1C9C80E3" w:rsidR="008C3F4F" w:rsidRPr="00EE7664" w:rsidRDefault="008C3F4F" w:rsidP="008C3F4F">
            <w:pPr>
              <w:rPr>
                <w:rFonts w:cs="Times New Roman"/>
              </w:rPr>
            </w:pPr>
          </w:p>
        </w:tc>
        <w:tc>
          <w:tcPr>
            <w:tcW w:w="3905" w:type="dxa"/>
          </w:tcPr>
          <w:p w14:paraId="438FA68F" w14:textId="77777777" w:rsidR="008C3F4F" w:rsidRPr="00EE7664" w:rsidRDefault="007D4E5B" w:rsidP="008C3F4F">
            <w:pPr>
              <w:rPr>
                <w:rFonts w:cs="Times New Roman"/>
              </w:rPr>
            </w:pPr>
            <w:r w:rsidRPr="00EE7664">
              <w:rPr>
                <w:rFonts w:cs="Times New Roman"/>
              </w:rPr>
              <w:t>Capstone Course policy added for programs that use a capstone course in place of 701 or 702 credits:</w:t>
            </w:r>
          </w:p>
          <w:p w14:paraId="284ED08E" w14:textId="77777777" w:rsidR="007D4E5B" w:rsidRPr="00EE7664" w:rsidRDefault="007D4E5B" w:rsidP="007D4E5B">
            <w:pPr>
              <w:pStyle w:val="ListParagraph"/>
              <w:numPr>
                <w:ilvl w:val="0"/>
                <w:numId w:val="21"/>
              </w:numPr>
              <w:spacing w:after="160" w:line="256" w:lineRule="auto"/>
              <w:ind w:left="286"/>
              <w:contextualSpacing/>
              <w:rPr>
                <w:rFonts w:asciiTheme="minorHAnsi" w:hAnsiTheme="minorHAnsi"/>
                <w:sz w:val="22"/>
                <w:szCs w:val="22"/>
              </w:rPr>
            </w:pPr>
            <w:r w:rsidRPr="00EE7664">
              <w:rPr>
                <w:rFonts w:asciiTheme="minorHAnsi" w:hAnsiTheme="minorHAnsi"/>
                <w:sz w:val="22"/>
                <w:szCs w:val="22"/>
              </w:rPr>
              <w:t>The capstone course(s) should not be taken until at least half of the required graded credits for the degree have been successfully completed.</w:t>
            </w:r>
          </w:p>
          <w:p w14:paraId="72A38FA1" w14:textId="77777777" w:rsidR="007D4E5B" w:rsidRPr="00EE7664" w:rsidRDefault="007D4E5B" w:rsidP="007D4E5B">
            <w:pPr>
              <w:pStyle w:val="ListParagraph"/>
              <w:numPr>
                <w:ilvl w:val="0"/>
                <w:numId w:val="21"/>
              </w:numPr>
              <w:spacing w:after="160" w:line="256" w:lineRule="auto"/>
              <w:ind w:left="286"/>
              <w:contextualSpacing/>
              <w:rPr>
                <w:rFonts w:asciiTheme="minorHAnsi" w:hAnsiTheme="minorHAnsi"/>
                <w:sz w:val="22"/>
                <w:szCs w:val="22"/>
              </w:rPr>
            </w:pPr>
            <w:r w:rsidRPr="00EE7664">
              <w:rPr>
                <w:rFonts w:asciiTheme="minorHAnsi" w:hAnsiTheme="minorHAnsi"/>
                <w:sz w:val="22"/>
                <w:szCs w:val="22"/>
              </w:rPr>
              <w:t>The capstone course should integrate the program’s learning outcomes and include a means of assessing whether students demonstrate proficiency in these areas.</w:t>
            </w:r>
          </w:p>
          <w:p w14:paraId="07CA0E99" w14:textId="77777777" w:rsidR="007D4E5B" w:rsidRPr="00EE7664" w:rsidRDefault="007D4E5B" w:rsidP="007D4E5B">
            <w:pPr>
              <w:pStyle w:val="ListParagraph"/>
              <w:numPr>
                <w:ilvl w:val="0"/>
                <w:numId w:val="21"/>
              </w:numPr>
              <w:spacing w:after="160" w:line="256" w:lineRule="auto"/>
              <w:ind w:left="286"/>
              <w:contextualSpacing/>
              <w:rPr>
                <w:rFonts w:asciiTheme="minorHAnsi" w:hAnsiTheme="minorHAnsi"/>
                <w:sz w:val="22"/>
                <w:szCs w:val="22"/>
              </w:rPr>
            </w:pPr>
            <w:r w:rsidRPr="00EE7664">
              <w:rPr>
                <w:rFonts w:asciiTheme="minorHAnsi" w:hAnsiTheme="minorHAnsi"/>
                <w:sz w:val="22"/>
                <w:szCs w:val="22"/>
              </w:rPr>
              <w:t xml:space="preserve">The capstone course should include a project that represents a major component of the course.   Team capstone projects should include a rubric or clearly defined means for the assessment of the contribution of individual students.  </w:t>
            </w:r>
          </w:p>
          <w:p w14:paraId="08AB9AC3" w14:textId="0D55D7EF" w:rsidR="007D4E5B" w:rsidRPr="00EE7664" w:rsidRDefault="007D4E5B" w:rsidP="007D4E5B">
            <w:pPr>
              <w:pStyle w:val="ListParagraph"/>
              <w:numPr>
                <w:ilvl w:val="0"/>
                <w:numId w:val="21"/>
              </w:numPr>
              <w:spacing w:after="160" w:line="256" w:lineRule="auto"/>
              <w:ind w:left="286"/>
              <w:contextualSpacing/>
              <w:rPr>
                <w:rFonts w:asciiTheme="minorHAnsi" w:hAnsiTheme="minorHAnsi"/>
                <w:sz w:val="22"/>
                <w:szCs w:val="22"/>
              </w:rPr>
            </w:pPr>
            <w:r w:rsidRPr="00EE7664">
              <w:rPr>
                <w:rFonts w:asciiTheme="minorHAnsi" w:hAnsiTheme="minorHAnsi"/>
                <w:sz w:val="22"/>
                <w:szCs w:val="22"/>
              </w:rPr>
              <w:t xml:space="preserve">Capstone courses should be graded S/F; if letter grades are assigned, students must earn a “B” or higher in </w:t>
            </w:r>
            <w:r w:rsidRPr="00EE7664">
              <w:rPr>
                <w:rFonts w:asciiTheme="minorHAnsi" w:hAnsiTheme="minorHAnsi"/>
                <w:sz w:val="22"/>
                <w:szCs w:val="22"/>
              </w:rPr>
              <w:lastRenderedPageBreak/>
              <w:t xml:space="preserve">all graded capstone courses in order to complete the degree. If a student receives a grade less than a “B”, the department can petition the Graduate School for an exception to policy to allow the student to repeat the course one final time. </w:t>
            </w:r>
          </w:p>
        </w:tc>
        <w:tc>
          <w:tcPr>
            <w:tcW w:w="4195" w:type="dxa"/>
          </w:tcPr>
          <w:p w14:paraId="5D0628BF" w14:textId="7F0C248D" w:rsidR="007D4E5B" w:rsidRPr="00EE7664" w:rsidRDefault="007D4E5B" w:rsidP="008C3F4F">
            <w:pPr>
              <w:rPr>
                <w:rFonts w:cs="Times New Roman"/>
              </w:rPr>
            </w:pPr>
            <w:r w:rsidRPr="00EE7664">
              <w:rPr>
                <w:rFonts w:cs="Times New Roman"/>
              </w:rPr>
              <w:lastRenderedPageBreak/>
              <w:t>New capstone course policy, as re</w:t>
            </w:r>
            <w:r w:rsidR="001A4C88">
              <w:rPr>
                <w:rFonts w:cs="Times New Roman"/>
              </w:rPr>
              <w:t xml:space="preserve">commended </w:t>
            </w:r>
            <w:r w:rsidRPr="00EE7664">
              <w:rPr>
                <w:rFonts w:cs="Times New Roman"/>
              </w:rPr>
              <w:t>by GSC.</w:t>
            </w:r>
          </w:p>
          <w:p w14:paraId="3DB10E10" w14:textId="77777777" w:rsidR="007D4E5B" w:rsidRPr="00EE7664" w:rsidRDefault="007D4E5B" w:rsidP="008C3F4F">
            <w:pPr>
              <w:rPr>
                <w:rFonts w:cs="Times New Roman"/>
              </w:rPr>
            </w:pPr>
          </w:p>
          <w:p w14:paraId="3319EF59" w14:textId="77777777" w:rsidR="007D4E5B" w:rsidRPr="00EE7664" w:rsidRDefault="007D4E5B" w:rsidP="008C3F4F">
            <w:pPr>
              <w:rPr>
                <w:rFonts w:cs="Times New Roman"/>
              </w:rPr>
            </w:pPr>
          </w:p>
          <w:p w14:paraId="3A5CCF68" w14:textId="0CDB802B" w:rsidR="008C3F4F" w:rsidRPr="00EE7664" w:rsidRDefault="008C3F4F" w:rsidP="00A72873">
            <w:pPr>
              <w:rPr>
                <w:rFonts w:cs="Times New Roman"/>
              </w:rPr>
            </w:pPr>
          </w:p>
        </w:tc>
      </w:tr>
      <w:tr w:rsidR="00B34B92" w:rsidRPr="003E3BEC" w14:paraId="69A6A565" w14:textId="77777777" w:rsidTr="006A5C7C">
        <w:tc>
          <w:tcPr>
            <w:tcW w:w="2317" w:type="dxa"/>
          </w:tcPr>
          <w:p w14:paraId="4500933D" w14:textId="589B936C" w:rsidR="00B34B92" w:rsidRPr="00EE7664" w:rsidRDefault="00B34B92" w:rsidP="00D273B7">
            <w:pPr>
              <w:rPr>
                <w:rFonts w:cs="Times New Roman"/>
              </w:rPr>
            </w:pPr>
            <w:r>
              <w:rPr>
                <w:rFonts w:cs="Times New Roman"/>
              </w:rPr>
              <w:t>Chapter 4</w:t>
            </w:r>
          </w:p>
        </w:tc>
        <w:tc>
          <w:tcPr>
            <w:tcW w:w="3565" w:type="dxa"/>
          </w:tcPr>
          <w:p w14:paraId="421D7110" w14:textId="77777777" w:rsidR="00B34B92" w:rsidRPr="00EE7664" w:rsidRDefault="00B34B92" w:rsidP="008C3F4F">
            <w:pPr>
              <w:rPr>
                <w:rFonts w:cs="Times New Roman"/>
              </w:rPr>
            </w:pPr>
          </w:p>
        </w:tc>
        <w:tc>
          <w:tcPr>
            <w:tcW w:w="3905" w:type="dxa"/>
          </w:tcPr>
          <w:p w14:paraId="7E874DD9" w14:textId="77777777" w:rsidR="00B34B92" w:rsidRPr="00EE7664" w:rsidRDefault="00B34B92" w:rsidP="008C3F4F">
            <w:pPr>
              <w:pStyle w:val="Pa48"/>
              <w:rPr>
                <w:rFonts w:asciiTheme="minorHAnsi" w:hAnsiTheme="minorHAnsi"/>
                <w:sz w:val="22"/>
                <w:szCs w:val="22"/>
              </w:rPr>
            </w:pPr>
          </w:p>
        </w:tc>
        <w:tc>
          <w:tcPr>
            <w:tcW w:w="4195" w:type="dxa"/>
          </w:tcPr>
          <w:p w14:paraId="62161550" w14:textId="77777777" w:rsidR="00B34B92" w:rsidRPr="00EE7664" w:rsidRDefault="00B34B92" w:rsidP="00B34B92">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p w14:paraId="27C27246" w14:textId="77777777" w:rsidR="00B34B92" w:rsidRPr="00EE7664" w:rsidRDefault="00B34B92" w:rsidP="00244873">
            <w:pPr>
              <w:rPr>
                <w:rFonts w:cs="Times New Roman"/>
              </w:rPr>
            </w:pPr>
          </w:p>
        </w:tc>
      </w:tr>
      <w:tr w:rsidR="008C3F4F" w:rsidRPr="003E3BEC" w14:paraId="49475EDB" w14:textId="77777777" w:rsidTr="006A5C7C">
        <w:tc>
          <w:tcPr>
            <w:tcW w:w="2317" w:type="dxa"/>
          </w:tcPr>
          <w:p w14:paraId="0B3AD729" w14:textId="3B36F37F" w:rsidR="002C5FE3" w:rsidRDefault="008C3F4F" w:rsidP="002C5FE3">
            <w:pPr>
              <w:rPr>
                <w:rFonts w:cs="Times New Roman"/>
              </w:rPr>
            </w:pPr>
            <w:r w:rsidRPr="00EE7664">
              <w:rPr>
                <w:rFonts w:cs="Times New Roman"/>
              </w:rPr>
              <w:t>Chapter 4, Section C.</w:t>
            </w:r>
            <w:r w:rsidR="00D273B7" w:rsidRPr="00EE7664">
              <w:rPr>
                <w:rFonts w:cs="Times New Roman"/>
              </w:rPr>
              <w:t>1 and 2</w:t>
            </w:r>
            <w:r w:rsidR="002C5FE3">
              <w:rPr>
                <w:rFonts w:cs="Times New Roman"/>
              </w:rPr>
              <w:t>:</w:t>
            </w:r>
            <w:r w:rsidR="00BD0248" w:rsidRPr="00EE7664">
              <w:rPr>
                <w:rFonts w:cs="Times New Roman"/>
              </w:rPr>
              <w:t xml:space="preserve"> Section J.1 and 2.</w:t>
            </w:r>
            <w:r w:rsidR="002C5FE3">
              <w:rPr>
                <w:rFonts w:cs="Times New Roman"/>
              </w:rPr>
              <w:t xml:space="preserve"> </w:t>
            </w:r>
          </w:p>
          <w:p w14:paraId="234743DB" w14:textId="77777777" w:rsidR="002C5FE3" w:rsidRDefault="002C5FE3" w:rsidP="002C5FE3">
            <w:pPr>
              <w:rPr>
                <w:rFonts w:cs="Times New Roman"/>
              </w:rPr>
            </w:pPr>
          </w:p>
          <w:p w14:paraId="0F86FEF9" w14:textId="399C3259" w:rsidR="008C3F4F" w:rsidRPr="00EE7664" w:rsidRDefault="002C5FE3" w:rsidP="002C5FE3">
            <w:pPr>
              <w:rPr>
                <w:rFonts w:cs="Times New Roman"/>
              </w:rPr>
            </w:pPr>
            <w:r>
              <w:rPr>
                <w:rFonts w:cs="Times New Roman"/>
              </w:rPr>
              <w:t>Section C. 5</w:t>
            </w:r>
          </w:p>
        </w:tc>
        <w:tc>
          <w:tcPr>
            <w:tcW w:w="3565" w:type="dxa"/>
          </w:tcPr>
          <w:p w14:paraId="48F05F36" w14:textId="6B550E7D" w:rsidR="008C3F4F" w:rsidRPr="00EE7664" w:rsidRDefault="008C3F4F" w:rsidP="008C3F4F">
            <w:pPr>
              <w:rPr>
                <w:rFonts w:cs="Times New Roman"/>
              </w:rPr>
            </w:pPr>
          </w:p>
        </w:tc>
        <w:tc>
          <w:tcPr>
            <w:tcW w:w="3905" w:type="dxa"/>
          </w:tcPr>
          <w:p w14:paraId="10F20521" w14:textId="77777777" w:rsidR="008C3F4F" w:rsidRDefault="002C5FE3" w:rsidP="008C3F4F">
            <w:pPr>
              <w:pStyle w:val="Pa48"/>
              <w:rPr>
                <w:rFonts w:asciiTheme="minorHAnsi" w:hAnsiTheme="minorHAnsi"/>
                <w:sz w:val="22"/>
                <w:szCs w:val="22"/>
              </w:rPr>
            </w:pPr>
            <w:r>
              <w:rPr>
                <w:rFonts w:asciiTheme="minorHAnsi" w:hAnsiTheme="minorHAnsi"/>
                <w:sz w:val="22"/>
                <w:szCs w:val="22"/>
              </w:rPr>
              <w:t>New NADC and Non-degree policies</w:t>
            </w:r>
          </w:p>
          <w:p w14:paraId="2DC37455" w14:textId="77777777" w:rsidR="002C5FE3" w:rsidRDefault="002C5FE3" w:rsidP="002C5FE3"/>
          <w:p w14:paraId="7E11D220" w14:textId="77777777" w:rsidR="002C5FE3" w:rsidRDefault="002C5FE3" w:rsidP="002C5FE3"/>
          <w:p w14:paraId="488182C4" w14:textId="40EEFF0E" w:rsidR="002C5FE3" w:rsidRPr="002C5FE3" w:rsidRDefault="002C5FE3" w:rsidP="002C5FE3">
            <w:r>
              <w:t>Reciprocal Exchange Graduate Student language deleted</w:t>
            </w:r>
          </w:p>
        </w:tc>
        <w:tc>
          <w:tcPr>
            <w:tcW w:w="4195" w:type="dxa"/>
          </w:tcPr>
          <w:p w14:paraId="5908C223" w14:textId="4C4474E2" w:rsidR="008C3F4F" w:rsidRDefault="00D273B7" w:rsidP="008C3F4F">
            <w:pPr>
              <w:rPr>
                <w:rFonts w:cs="Times New Roman"/>
              </w:rPr>
            </w:pPr>
            <w:r w:rsidRPr="00EE7664">
              <w:rPr>
                <w:rFonts w:cs="Times New Roman"/>
              </w:rPr>
              <w:t xml:space="preserve">NADC and Non-Degree policy changes </w:t>
            </w:r>
            <w:r w:rsidR="002C5FE3">
              <w:rPr>
                <w:rFonts w:cs="Times New Roman"/>
              </w:rPr>
              <w:t xml:space="preserve">as </w:t>
            </w:r>
            <w:r w:rsidR="002C5FE3" w:rsidRPr="00EE7664">
              <w:rPr>
                <w:rFonts w:cs="Times New Roman"/>
              </w:rPr>
              <w:t>noted above in Ch. 2</w:t>
            </w:r>
            <w:r w:rsidR="002C5FE3">
              <w:rPr>
                <w:rFonts w:cs="Times New Roman"/>
              </w:rPr>
              <w:t xml:space="preserve"> are included in Ch. 4.</w:t>
            </w:r>
          </w:p>
          <w:p w14:paraId="4B8F4237" w14:textId="77777777" w:rsidR="00417165" w:rsidRDefault="00417165" w:rsidP="008C3F4F">
            <w:pPr>
              <w:rPr>
                <w:rFonts w:cs="Times New Roman"/>
              </w:rPr>
            </w:pPr>
          </w:p>
          <w:p w14:paraId="2B82857A" w14:textId="43143BEE" w:rsidR="00417165" w:rsidRPr="00EE7664" w:rsidRDefault="00417165" w:rsidP="002C5FE3">
            <w:pPr>
              <w:rPr>
                <w:rFonts w:cs="Times New Roman"/>
              </w:rPr>
            </w:pPr>
            <w:r>
              <w:rPr>
                <w:rFonts w:cs="Times New Roman"/>
              </w:rPr>
              <w:t xml:space="preserve">Reciprocal Exchange Graduate Student language </w:t>
            </w:r>
            <w:r w:rsidR="002C5FE3">
              <w:rPr>
                <w:rFonts w:cs="Times New Roman"/>
              </w:rPr>
              <w:t xml:space="preserve">as deleted above in Ch. 2 is also </w:t>
            </w:r>
            <w:r>
              <w:rPr>
                <w:rFonts w:cs="Times New Roman"/>
              </w:rPr>
              <w:t xml:space="preserve">deleted </w:t>
            </w:r>
            <w:r w:rsidR="002C5FE3">
              <w:rPr>
                <w:rFonts w:cs="Times New Roman"/>
              </w:rPr>
              <w:t>in Ch. 4.</w:t>
            </w:r>
            <w:r>
              <w:rPr>
                <w:rFonts w:cs="Times New Roman"/>
              </w:rPr>
              <w:t xml:space="preserve"> </w:t>
            </w:r>
          </w:p>
        </w:tc>
      </w:tr>
      <w:tr w:rsidR="008C3F4F" w:rsidRPr="003E3BEC" w14:paraId="5BD021C1" w14:textId="77777777" w:rsidTr="006A5C7C">
        <w:tc>
          <w:tcPr>
            <w:tcW w:w="2317" w:type="dxa"/>
          </w:tcPr>
          <w:p w14:paraId="68ECA427" w14:textId="0D3B04FF" w:rsidR="008C3F4F" w:rsidRPr="00EE7664" w:rsidRDefault="008C3F4F" w:rsidP="008C3F4F">
            <w:pPr>
              <w:rPr>
                <w:rFonts w:cs="Times New Roman"/>
              </w:rPr>
            </w:pPr>
            <w:r w:rsidRPr="00EE7664">
              <w:rPr>
                <w:rFonts w:cs="Times New Roman"/>
              </w:rPr>
              <w:t>Chapter 4, Section E.1</w:t>
            </w:r>
            <w:r w:rsidR="00D273B7" w:rsidRPr="00EE7664">
              <w:rPr>
                <w:rFonts w:cs="Times New Roman"/>
              </w:rPr>
              <w:t>4</w:t>
            </w:r>
          </w:p>
        </w:tc>
        <w:tc>
          <w:tcPr>
            <w:tcW w:w="3565" w:type="dxa"/>
          </w:tcPr>
          <w:p w14:paraId="596248D0" w14:textId="2BDC449E" w:rsidR="008C3F4F" w:rsidRPr="00EE7664" w:rsidRDefault="008C3F4F" w:rsidP="008C3F4F">
            <w:pPr>
              <w:rPr>
                <w:rFonts w:cs="Times New Roman"/>
              </w:rPr>
            </w:pPr>
          </w:p>
        </w:tc>
        <w:tc>
          <w:tcPr>
            <w:tcW w:w="3905" w:type="dxa"/>
          </w:tcPr>
          <w:p w14:paraId="2A904096" w14:textId="371380B3" w:rsidR="008C3F4F" w:rsidRPr="00EE7664" w:rsidRDefault="00D273B7" w:rsidP="008C3F4F">
            <w:pPr>
              <w:pStyle w:val="Pa48"/>
              <w:rPr>
                <w:rFonts w:asciiTheme="minorHAnsi" w:hAnsiTheme="minorHAnsi"/>
                <w:sz w:val="22"/>
                <w:szCs w:val="22"/>
              </w:rPr>
            </w:pPr>
            <w:r w:rsidRPr="00EE7664">
              <w:rPr>
                <w:rFonts w:asciiTheme="minorHAnsi" w:hAnsiTheme="minorHAnsi"/>
                <w:sz w:val="22"/>
                <w:szCs w:val="22"/>
              </w:rPr>
              <w:t>Neuroscience Program was added to the STARS early admission policy.</w:t>
            </w:r>
          </w:p>
        </w:tc>
        <w:tc>
          <w:tcPr>
            <w:tcW w:w="4195" w:type="dxa"/>
          </w:tcPr>
          <w:p w14:paraId="7B0A78FB" w14:textId="3919BFB5" w:rsidR="008C3F4F" w:rsidRPr="00EE7664" w:rsidRDefault="008C3F4F" w:rsidP="008C3F4F">
            <w:pPr>
              <w:rPr>
                <w:rFonts w:cs="Times New Roman"/>
              </w:rPr>
            </w:pPr>
          </w:p>
        </w:tc>
      </w:tr>
      <w:tr w:rsidR="008C3F4F" w:rsidRPr="003E3BEC" w14:paraId="36A65742" w14:textId="77777777" w:rsidTr="006A5C7C">
        <w:tc>
          <w:tcPr>
            <w:tcW w:w="2317" w:type="dxa"/>
          </w:tcPr>
          <w:p w14:paraId="4A1DE0A0" w14:textId="5C0D842D" w:rsidR="008C3F4F" w:rsidRPr="00EE7664" w:rsidRDefault="008C3F4F" w:rsidP="00560290">
            <w:pPr>
              <w:rPr>
                <w:rFonts w:cs="Times New Roman"/>
              </w:rPr>
            </w:pPr>
            <w:r w:rsidRPr="00EE7664">
              <w:rPr>
                <w:rFonts w:cs="Times New Roman"/>
              </w:rPr>
              <w:t xml:space="preserve">Chapter 5 </w:t>
            </w:r>
          </w:p>
        </w:tc>
        <w:tc>
          <w:tcPr>
            <w:tcW w:w="3565" w:type="dxa"/>
          </w:tcPr>
          <w:p w14:paraId="773F3D1A" w14:textId="2B991B35" w:rsidR="008C3F4F" w:rsidRPr="00EE7664" w:rsidRDefault="008C3F4F" w:rsidP="008C3F4F">
            <w:pPr>
              <w:rPr>
                <w:rFonts w:cs="Times New Roman"/>
              </w:rPr>
            </w:pPr>
          </w:p>
        </w:tc>
        <w:tc>
          <w:tcPr>
            <w:tcW w:w="3905" w:type="dxa"/>
          </w:tcPr>
          <w:p w14:paraId="05F5702A" w14:textId="328816BD" w:rsidR="008C3F4F" w:rsidRPr="00EE7664" w:rsidRDefault="008C3F4F" w:rsidP="008C3F4F">
            <w:pPr>
              <w:rPr>
                <w:rFonts w:cs="Times New Roman"/>
              </w:rPr>
            </w:pPr>
          </w:p>
        </w:tc>
        <w:tc>
          <w:tcPr>
            <w:tcW w:w="4195" w:type="dxa"/>
          </w:tcPr>
          <w:p w14:paraId="0F8CEDD3" w14:textId="2D10D8A8" w:rsidR="00590AF8" w:rsidRPr="00EE7664" w:rsidRDefault="00A72873" w:rsidP="008C3F4F">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p w14:paraId="744152E4" w14:textId="77777777" w:rsidR="00244873" w:rsidRDefault="00244873" w:rsidP="008C3F4F">
            <w:pPr>
              <w:rPr>
                <w:rFonts w:cs="Times New Roman"/>
              </w:rPr>
            </w:pPr>
          </w:p>
          <w:p w14:paraId="33DCBF5E" w14:textId="3B949FA1" w:rsidR="008C3F4F" w:rsidRPr="00EE7664" w:rsidRDefault="00560290" w:rsidP="008C3F4F">
            <w:pPr>
              <w:rPr>
                <w:rFonts w:cs="Times New Roman"/>
              </w:rPr>
            </w:pPr>
            <w:r w:rsidRPr="00EE7664">
              <w:rPr>
                <w:rFonts w:cs="Times New Roman"/>
              </w:rPr>
              <w:t>Health Insurance policy language may change</w:t>
            </w:r>
            <w:r w:rsidR="00244873">
              <w:rPr>
                <w:rFonts w:cs="Times New Roman"/>
              </w:rPr>
              <w:t xml:space="preserve"> due to ACA requirements</w:t>
            </w:r>
            <w:r w:rsidRPr="00EE7664">
              <w:rPr>
                <w:rFonts w:cs="Times New Roman"/>
              </w:rPr>
              <w:t>.</w:t>
            </w:r>
          </w:p>
        </w:tc>
      </w:tr>
      <w:tr w:rsidR="00B34B92" w:rsidRPr="003E3BEC" w14:paraId="1CA1152B" w14:textId="77777777" w:rsidTr="006A5C7C">
        <w:tc>
          <w:tcPr>
            <w:tcW w:w="2317" w:type="dxa"/>
          </w:tcPr>
          <w:p w14:paraId="502091BE" w14:textId="7A45D6CF" w:rsidR="00B34B92" w:rsidRPr="00EE7664" w:rsidRDefault="00B34B92" w:rsidP="00560290">
            <w:pPr>
              <w:rPr>
                <w:rFonts w:cs="Times New Roman"/>
              </w:rPr>
            </w:pPr>
            <w:r>
              <w:rPr>
                <w:rFonts w:cs="Times New Roman"/>
              </w:rPr>
              <w:lastRenderedPageBreak/>
              <w:t>Chapter 6</w:t>
            </w:r>
          </w:p>
        </w:tc>
        <w:tc>
          <w:tcPr>
            <w:tcW w:w="3565" w:type="dxa"/>
          </w:tcPr>
          <w:p w14:paraId="0C84069C" w14:textId="77777777" w:rsidR="00B34B92" w:rsidRPr="00EE7664" w:rsidRDefault="00B34B92" w:rsidP="006904F0">
            <w:pPr>
              <w:pStyle w:val="NormalWeb"/>
              <w:rPr>
                <w:rFonts w:asciiTheme="minorHAnsi" w:hAnsiTheme="minorHAnsi"/>
                <w:sz w:val="22"/>
                <w:szCs w:val="22"/>
              </w:rPr>
            </w:pPr>
          </w:p>
        </w:tc>
        <w:tc>
          <w:tcPr>
            <w:tcW w:w="3905" w:type="dxa"/>
          </w:tcPr>
          <w:p w14:paraId="3FFE4751" w14:textId="77777777" w:rsidR="00B34B92" w:rsidRPr="00EE7664" w:rsidRDefault="00B34B92" w:rsidP="00560290">
            <w:pPr>
              <w:pStyle w:val="NormalWeb"/>
              <w:rPr>
                <w:rFonts w:asciiTheme="minorHAnsi" w:hAnsiTheme="minorHAnsi"/>
                <w:sz w:val="22"/>
                <w:szCs w:val="22"/>
              </w:rPr>
            </w:pPr>
          </w:p>
        </w:tc>
        <w:tc>
          <w:tcPr>
            <w:tcW w:w="4195" w:type="dxa"/>
          </w:tcPr>
          <w:p w14:paraId="174F36DC" w14:textId="77777777" w:rsidR="00B34B92" w:rsidRDefault="00B34B92" w:rsidP="00B34B92">
            <w:pPr>
              <w:rPr>
                <w:rFonts w:cs="Times New Roman"/>
              </w:rPr>
            </w:pPr>
            <w:r>
              <w:rPr>
                <w:rFonts w:cs="Times New Roman"/>
              </w:rPr>
              <w:t>L</w:t>
            </w:r>
            <w:r w:rsidRPr="00EE7664">
              <w:rPr>
                <w:rFonts w:cs="Times New Roman"/>
              </w:rPr>
              <w:t xml:space="preserve">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r>
              <w:rPr>
                <w:rFonts w:cs="Times New Roman"/>
              </w:rPr>
              <w:t>.</w:t>
            </w:r>
          </w:p>
          <w:p w14:paraId="1902D48E" w14:textId="432D1F7F" w:rsidR="00B34B92" w:rsidRDefault="00B34B92" w:rsidP="006904F0">
            <w:pPr>
              <w:rPr>
                <w:rFonts w:cs="Times New Roman"/>
              </w:rPr>
            </w:pPr>
          </w:p>
        </w:tc>
      </w:tr>
      <w:tr w:rsidR="008C3F4F" w:rsidRPr="003E3BEC" w14:paraId="4AF32B56" w14:textId="77777777" w:rsidTr="006A5C7C">
        <w:tc>
          <w:tcPr>
            <w:tcW w:w="2317" w:type="dxa"/>
          </w:tcPr>
          <w:p w14:paraId="6A6ECD9E" w14:textId="7DC9D577" w:rsidR="008C3F4F" w:rsidRPr="00EE7664" w:rsidRDefault="008C3F4F" w:rsidP="00560290">
            <w:pPr>
              <w:rPr>
                <w:rFonts w:cs="Times New Roman"/>
              </w:rPr>
            </w:pPr>
            <w:r w:rsidRPr="00EE7664">
              <w:rPr>
                <w:rFonts w:cs="Times New Roman"/>
              </w:rPr>
              <w:t xml:space="preserve">Chapter 6, Section </w:t>
            </w:r>
            <w:r w:rsidR="00560290" w:rsidRPr="00EE7664">
              <w:rPr>
                <w:rFonts w:cs="Times New Roman"/>
              </w:rPr>
              <w:t>H</w:t>
            </w:r>
            <w:r w:rsidRPr="00EE7664">
              <w:rPr>
                <w:rFonts w:cs="Times New Roman"/>
              </w:rPr>
              <w:t xml:space="preserve">. </w:t>
            </w:r>
          </w:p>
        </w:tc>
        <w:tc>
          <w:tcPr>
            <w:tcW w:w="3565" w:type="dxa"/>
          </w:tcPr>
          <w:p w14:paraId="541974A2" w14:textId="5D8E3A4B" w:rsidR="006904F0" w:rsidRPr="00EE7664" w:rsidRDefault="006904F0" w:rsidP="006904F0">
            <w:pPr>
              <w:pStyle w:val="NormalWeb"/>
              <w:rPr>
                <w:rFonts w:asciiTheme="minorHAnsi" w:hAnsiTheme="minorHAnsi"/>
                <w:sz w:val="22"/>
                <w:szCs w:val="22"/>
              </w:rPr>
            </w:pPr>
            <w:r w:rsidRPr="00EE7664">
              <w:rPr>
                <w:rFonts w:asciiTheme="minorHAnsi" w:hAnsiTheme="minorHAnsi"/>
                <w:sz w:val="22"/>
                <w:szCs w:val="22"/>
              </w:rPr>
              <w:t>All students must submit a 100% cotton fiber paper copy of the title page, abstract page, and signature page signed in black ink by all committee members. Cotton paper is necessary for archiving purposes.</w:t>
            </w:r>
          </w:p>
          <w:p w14:paraId="37D31465" w14:textId="6410ED1F" w:rsidR="008C3F4F" w:rsidRPr="00EE7664" w:rsidRDefault="008C3F4F" w:rsidP="008C3F4F">
            <w:pPr>
              <w:rPr>
                <w:rFonts w:cs="Times New Roman"/>
              </w:rPr>
            </w:pPr>
          </w:p>
        </w:tc>
        <w:tc>
          <w:tcPr>
            <w:tcW w:w="3905" w:type="dxa"/>
          </w:tcPr>
          <w:p w14:paraId="477B2D23" w14:textId="77777777" w:rsidR="00560290" w:rsidRPr="00EE7664" w:rsidRDefault="00560290" w:rsidP="00560290">
            <w:pPr>
              <w:pStyle w:val="NormalWeb"/>
              <w:rPr>
                <w:rFonts w:asciiTheme="minorHAnsi" w:hAnsiTheme="minorHAnsi"/>
                <w:sz w:val="22"/>
                <w:szCs w:val="22"/>
              </w:rPr>
            </w:pPr>
            <w:r w:rsidRPr="00EE7664">
              <w:rPr>
                <w:rFonts w:asciiTheme="minorHAnsi" w:hAnsiTheme="minorHAnsi"/>
                <w:sz w:val="22"/>
                <w:szCs w:val="22"/>
              </w:rPr>
              <w:t xml:space="preserve">All students must submit a 100% cotton fiber paper copy of the title page, abstract page, and signature page signed in black </w:t>
            </w:r>
            <w:r w:rsidRPr="00EE7664">
              <w:rPr>
                <w:rFonts w:asciiTheme="minorHAnsi" w:hAnsiTheme="minorHAnsi"/>
                <w:color w:val="FF0000"/>
                <w:sz w:val="22"/>
                <w:szCs w:val="22"/>
              </w:rPr>
              <w:t xml:space="preserve">or blue </w:t>
            </w:r>
            <w:r w:rsidRPr="00EE7664">
              <w:rPr>
                <w:rFonts w:asciiTheme="minorHAnsi" w:hAnsiTheme="minorHAnsi"/>
                <w:sz w:val="22"/>
                <w:szCs w:val="22"/>
              </w:rPr>
              <w:t>ink by all committee members. Cotton paper is necessary for archiving purposes.</w:t>
            </w:r>
          </w:p>
          <w:p w14:paraId="37C2330B" w14:textId="6A65F265" w:rsidR="008C3F4F" w:rsidRPr="00EE7664" w:rsidRDefault="008C3F4F" w:rsidP="008C3F4F"/>
        </w:tc>
        <w:tc>
          <w:tcPr>
            <w:tcW w:w="4195" w:type="dxa"/>
          </w:tcPr>
          <w:p w14:paraId="3B5E64DB" w14:textId="77777777" w:rsidR="00B34B92" w:rsidRDefault="00B34B92" w:rsidP="006904F0">
            <w:pPr>
              <w:rPr>
                <w:rFonts w:cs="Times New Roman"/>
              </w:rPr>
            </w:pPr>
            <w:r>
              <w:rPr>
                <w:rFonts w:cs="Times New Roman"/>
              </w:rPr>
              <w:t>This new policy change adds blue ink</w:t>
            </w:r>
            <w:r w:rsidRPr="00EE7664">
              <w:rPr>
                <w:rFonts w:cs="Times New Roman"/>
              </w:rPr>
              <w:t xml:space="preserve"> to what is allowable for the archived pages of the thesis/dissertation.</w:t>
            </w:r>
            <w:r>
              <w:rPr>
                <w:rFonts w:cs="Times New Roman"/>
              </w:rPr>
              <w:t xml:space="preserve">  This change is OK with Library archives; however, cotton paper (acid-free paper) is still required.</w:t>
            </w:r>
          </w:p>
          <w:p w14:paraId="302D0A5C" w14:textId="3F60A9FA" w:rsidR="008C3F4F" w:rsidRPr="00EE7664" w:rsidRDefault="008C3F4F" w:rsidP="00B34B92">
            <w:pPr>
              <w:rPr>
                <w:rFonts w:cs="Times New Roman"/>
              </w:rPr>
            </w:pPr>
          </w:p>
        </w:tc>
      </w:tr>
      <w:tr w:rsidR="008C3F4F" w:rsidRPr="003E3BEC" w14:paraId="26443140" w14:textId="77777777" w:rsidTr="006A5C7C">
        <w:tc>
          <w:tcPr>
            <w:tcW w:w="2317" w:type="dxa"/>
          </w:tcPr>
          <w:p w14:paraId="20729FD9" w14:textId="7BEEA5A7" w:rsidR="008C3F4F" w:rsidRPr="00EE7664" w:rsidRDefault="008C3F4F" w:rsidP="00560290">
            <w:pPr>
              <w:rPr>
                <w:rFonts w:cs="Times New Roman"/>
              </w:rPr>
            </w:pPr>
            <w:r w:rsidRPr="00EE7664">
              <w:rPr>
                <w:rFonts w:cs="Times New Roman"/>
              </w:rPr>
              <w:t>Chapter 7</w:t>
            </w:r>
          </w:p>
        </w:tc>
        <w:tc>
          <w:tcPr>
            <w:tcW w:w="3565" w:type="dxa"/>
          </w:tcPr>
          <w:p w14:paraId="686B0904" w14:textId="0BD6362F" w:rsidR="008C3F4F" w:rsidRPr="00EE7664" w:rsidRDefault="008C3F4F" w:rsidP="008C3F4F">
            <w:pPr>
              <w:rPr>
                <w:rFonts w:cs="Times New Roman"/>
              </w:rPr>
            </w:pPr>
          </w:p>
        </w:tc>
        <w:tc>
          <w:tcPr>
            <w:tcW w:w="3905" w:type="dxa"/>
          </w:tcPr>
          <w:p w14:paraId="6D45DFB4" w14:textId="1B66A490" w:rsidR="008C3F4F" w:rsidRPr="00EE7664" w:rsidRDefault="008C3F4F" w:rsidP="008C3F4F">
            <w:pPr>
              <w:tabs>
                <w:tab w:val="left" w:pos="270"/>
              </w:tabs>
              <w:autoSpaceDE w:val="0"/>
              <w:autoSpaceDN w:val="0"/>
              <w:adjustRightInd w:val="0"/>
              <w:rPr>
                <w:rFonts w:cs="Times New Roman"/>
              </w:rPr>
            </w:pPr>
          </w:p>
        </w:tc>
        <w:tc>
          <w:tcPr>
            <w:tcW w:w="4195" w:type="dxa"/>
          </w:tcPr>
          <w:p w14:paraId="3C502960" w14:textId="6911247E" w:rsidR="00B34B92" w:rsidRDefault="00B34B92" w:rsidP="008C3F4F">
            <w:pPr>
              <w:rPr>
                <w:rFonts w:cs="Times New Roman"/>
              </w:rPr>
            </w:pPr>
            <w:r>
              <w:rPr>
                <w:rFonts w:cs="Times New Roman"/>
              </w:rPr>
              <w:t>Policies were reorganized</w:t>
            </w:r>
            <w:r w:rsidR="00C71257">
              <w:rPr>
                <w:rFonts w:cs="Times New Roman"/>
              </w:rPr>
              <w:t xml:space="preserve"> for better flow</w:t>
            </w:r>
            <w:r>
              <w:rPr>
                <w:rFonts w:cs="Times New Roman"/>
              </w:rPr>
              <w:t>.</w:t>
            </w:r>
          </w:p>
          <w:p w14:paraId="516898C5" w14:textId="77777777" w:rsidR="00B34B92" w:rsidRDefault="00B34B92" w:rsidP="008C3F4F">
            <w:pPr>
              <w:rPr>
                <w:rFonts w:cs="Times New Roman"/>
              </w:rPr>
            </w:pPr>
          </w:p>
          <w:p w14:paraId="2CA3E2E5" w14:textId="6AC2E218" w:rsidR="008C3F4F" w:rsidRPr="00EE7664" w:rsidRDefault="00A72873" w:rsidP="008C3F4F">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tc>
      </w:tr>
      <w:tr w:rsidR="00590AF8" w:rsidRPr="003E3BEC" w14:paraId="6E8133B3" w14:textId="77777777" w:rsidTr="006A5C7C">
        <w:tc>
          <w:tcPr>
            <w:tcW w:w="2317" w:type="dxa"/>
          </w:tcPr>
          <w:p w14:paraId="40A469FB" w14:textId="58B545B4" w:rsidR="00590AF8" w:rsidRPr="00EE7664" w:rsidRDefault="00590AF8" w:rsidP="00590AF8">
            <w:pPr>
              <w:rPr>
                <w:rFonts w:cs="Times New Roman"/>
              </w:rPr>
            </w:pPr>
            <w:r w:rsidRPr="00EE7664">
              <w:rPr>
                <w:rFonts w:cs="Times New Roman"/>
              </w:rPr>
              <w:t>Chapter 7, Section D.3</w:t>
            </w:r>
          </w:p>
        </w:tc>
        <w:tc>
          <w:tcPr>
            <w:tcW w:w="3565" w:type="dxa"/>
          </w:tcPr>
          <w:p w14:paraId="7E828EAF" w14:textId="7DCAE9C9" w:rsidR="00590AF8" w:rsidRPr="00EE7664" w:rsidRDefault="00590AF8" w:rsidP="00590AF8">
            <w:pPr>
              <w:rPr>
                <w:rFonts w:cs="Times New Roman"/>
              </w:rPr>
            </w:pPr>
            <w:r w:rsidRPr="00EE7664">
              <w:rPr>
                <w:rFonts w:cs="Times New Roman"/>
              </w:rPr>
              <w:t>No old policy</w:t>
            </w:r>
          </w:p>
        </w:tc>
        <w:tc>
          <w:tcPr>
            <w:tcW w:w="3905" w:type="dxa"/>
          </w:tcPr>
          <w:p w14:paraId="6C77B47D" w14:textId="77777777" w:rsidR="00590AF8" w:rsidRPr="00EE7664" w:rsidRDefault="00590AF8" w:rsidP="00590AF8">
            <w:pPr>
              <w:ind w:left="16"/>
              <w:rPr>
                <w:b/>
              </w:rPr>
            </w:pPr>
            <w:r w:rsidRPr="00EE7664">
              <w:rPr>
                <w:b/>
              </w:rPr>
              <w:t>Taking More than One Examination During the Same Semester</w:t>
            </w:r>
          </w:p>
          <w:p w14:paraId="4754028A" w14:textId="77777777" w:rsidR="00590AF8" w:rsidRPr="00EE7664" w:rsidRDefault="00590AF8" w:rsidP="00590AF8">
            <w:pPr>
              <w:ind w:left="106"/>
            </w:pPr>
            <w:r w:rsidRPr="00EE7664">
              <w:t xml:space="preserve">A student may take a final examination for a thesis master’s degree during the same semester that he/she takes the preliminary or final doctoral examination, if the degrees are from different disciplines, and the student has the approval of the both faculty </w:t>
            </w:r>
            <w:r w:rsidRPr="00EE7664">
              <w:lastRenderedPageBreak/>
              <w:t xml:space="preserve">advisory committees and program chairs/directors.  The same procedures and policies apply for scheduling the second examination, and the student will have to apply for graduation for both degrees and pay the $50 fee for each application, if both examinations are finals. </w:t>
            </w:r>
          </w:p>
          <w:p w14:paraId="7CF24DF5" w14:textId="77777777" w:rsidR="00590AF8" w:rsidRPr="00EE7664" w:rsidRDefault="00590AF8" w:rsidP="00590AF8">
            <w:pPr>
              <w:ind w:left="106"/>
              <w:rPr>
                <w:highlight w:val="yellow"/>
              </w:rPr>
            </w:pPr>
          </w:p>
          <w:p w14:paraId="76A5AA6F" w14:textId="77777777" w:rsidR="00590AF8" w:rsidRPr="00EE7664" w:rsidRDefault="00590AF8" w:rsidP="00590AF8">
            <w:pPr>
              <w:ind w:left="106"/>
            </w:pPr>
            <w:r w:rsidRPr="00EE7664">
              <w:t xml:space="preserve">If the student is defending both a thesis master’s degree and a doctoral degree, the examinations must be scheduled on separate days, with a minimum of three weeks (15 calendar days) in between the examinations (there will be no exceptions to this policy).  This period includes time for completion and full submission of the thesis, as well as announcing the doctoral exam.  If the thesis master’s degree is in the same discipline as the doctoral degree, the student may not take the exams in the same semester and student must defend the master’s degree before defending the doctoral degree.  If the discipline is different, the student may defend the doctoral degree first.  </w:t>
            </w:r>
          </w:p>
          <w:p w14:paraId="71A8BADE" w14:textId="77777777" w:rsidR="00590AF8" w:rsidRPr="00EE7664" w:rsidRDefault="00590AF8" w:rsidP="00590AF8">
            <w:pPr>
              <w:tabs>
                <w:tab w:val="left" w:pos="270"/>
              </w:tabs>
              <w:autoSpaceDE w:val="0"/>
              <w:autoSpaceDN w:val="0"/>
              <w:adjustRightInd w:val="0"/>
              <w:rPr>
                <w:rFonts w:cs="Times New Roman"/>
                <w:color w:val="C00000"/>
              </w:rPr>
            </w:pPr>
          </w:p>
        </w:tc>
        <w:tc>
          <w:tcPr>
            <w:tcW w:w="4195" w:type="dxa"/>
          </w:tcPr>
          <w:p w14:paraId="7115DB0B" w14:textId="27AF1916" w:rsidR="00590AF8" w:rsidRPr="00EE7664" w:rsidRDefault="00EE7664" w:rsidP="00590AF8">
            <w:pPr>
              <w:rPr>
                <w:rFonts w:cs="Times New Roman"/>
              </w:rPr>
            </w:pPr>
            <w:r>
              <w:rPr>
                <w:rFonts w:cs="Times New Roman"/>
              </w:rPr>
              <w:lastRenderedPageBreak/>
              <w:t>New policy on taking more than one exam during the same semester for students in dual master’s degree programs, or a master’s and doctoral program.</w:t>
            </w:r>
          </w:p>
        </w:tc>
      </w:tr>
      <w:tr w:rsidR="008C3F4F" w:rsidRPr="003E3BEC" w14:paraId="5E065AC3" w14:textId="77777777" w:rsidTr="006A5C7C">
        <w:tc>
          <w:tcPr>
            <w:tcW w:w="2317" w:type="dxa"/>
          </w:tcPr>
          <w:p w14:paraId="266E5E36" w14:textId="0DA00F87" w:rsidR="008C3F4F" w:rsidRPr="00EE7664" w:rsidRDefault="008C3F4F" w:rsidP="007D20D5">
            <w:pPr>
              <w:rPr>
                <w:rFonts w:cs="Times New Roman"/>
              </w:rPr>
            </w:pPr>
            <w:r w:rsidRPr="00EE7664">
              <w:rPr>
                <w:rFonts w:cs="Times New Roman"/>
              </w:rPr>
              <w:t>Chapter 8</w:t>
            </w:r>
          </w:p>
        </w:tc>
        <w:tc>
          <w:tcPr>
            <w:tcW w:w="3565" w:type="dxa"/>
          </w:tcPr>
          <w:p w14:paraId="73211249" w14:textId="4CD7BA50" w:rsidR="008C3F4F" w:rsidRPr="00EE7664" w:rsidRDefault="008C3F4F" w:rsidP="008C3F4F">
            <w:pPr>
              <w:rPr>
                <w:rFonts w:cs="Times New Roman"/>
              </w:rPr>
            </w:pPr>
          </w:p>
        </w:tc>
        <w:tc>
          <w:tcPr>
            <w:tcW w:w="3905" w:type="dxa"/>
          </w:tcPr>
          <w:p w14:paraId="56C75E19" w14:textId="27679DAF" w:rsidR="008C3F4F" w:rsidRPr="00EE7664" w:rsidRDefault="008C3F4F" w:rsidP="008C3F4F">
            <w:pPr>
              <w:tabs>
                <w:tab w:val="left" w:pos="270"/>
              </w:tabs>
              <w:autoSpaceDE w:val="0"/>
              <w:autoSpaceDN w:val="0"/>
              <w:adjustRightInd w:val="0"/>
              <w:rPr>
                <w:rFonts w:cs="Times New Roman"/>
                <w:color w:val="C00000"/>
              </w:rPr>
            </w:pPr>
          </w:p>
        </w:tc>
        <w:tc>
          <w:tcPr>
            <w:tcW w:w="4195" w:type="dxa"/>
          </w:tcPr>
          <w:p w14:paraId="3971CE5B" w14:textId="204EC574" w:rsidR="008C3F4F" w:rsidRPr="00EE7664" w:rsidRDefault="00A72873" w:rsidP="008C3F4F">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w:t>
            </w:r>
            <w:r w:rsidRPr="00EE7664">
              <w:rPr>
                <w:rFonts w:cs="Times New Roman"/>
              </w:rPr>
              <w:lastRenderedPageBreak/>
              <w:t xml:space="preserve">and </w:t>
            </w:r>
            <w:r>
              <w:rPr>
                <w:rFonts w:cs="Times New Roman"/>
              </w:rPr>
              <w:t xml:space="preserve">current </w:t>
            </w:r>
            <w:r w:rsidRPr="00EE7664">
              <w:rPr>
                <w:rFonts w:cs="Times New Roman"/>
              </w:rPr>
              <w:t>Graduate School/Program practices.</w:t>
            </w:r>
          </w:p>
        </w:tc>
      </w:tr>
      <w:tr w:rsidR="00EB42DA" w:rsidRPr="003E3BEC" w14:paraId="1DE44B87" w14:textId="77777777" w:rsidTr="006A5C7C">
        <w:tc>
          <w:tcPr>
            <w:tcW w:w="2317" w:type="dxa"/>
          </w:tcPr>
          <w:p w14:paraId="662EEFFE" w14:textId="00448077" w:rsidR="00EB42DA" w:rsidRPr="00EE7664" w:rsidRDefault="00EB42DA" w:rsidP="008C3F4F">
            <w:pPr>
              <w:rPr>
                <w:rFonts w:cs="Times New Roman"/>
              </w:rPr>
            </w:pPr>
            <w:r>
              <w:rPr>
                <w:rFonts w:cs="Times New Roman"/>
              </w:rPr>
              <w:lastRenderedPageBreak/>
              <w:t>Chapter 8, Section C.7</w:t>
            </w:r>
          </w:p>
        </w:tc>
        <w:tc>
          <w:tcPr>
            <w:tcW w:w="3565" w:type="dxa"/>
          </w:tcPr>
          <w:p w14:paraId="31B9D71D" w14:textId="7A448816" w:rsidR="00EB42DA" w:rsidRPr="00EE7664" w:rsidRDefault="00EB42DA" w:rsidP="008C3F4F">
            <w:pPr>
              <w:rPr>
                <w:rFonts w:cs="Times New Roman"/>
              </w:rPr>
            </w:pPr>
            <w:r>
              <w:rPr>
                <w:rFonts w:cs="Times New Roman"/>
              </w:rPr>
              <w:t>Second Doctoral Degree</w:t>
            </w:r>
          </w:p>
        </w:tc>
        <w:tc>
          <w:tcPr>
            <w:tcW w:w="3905" w:type="dxa"/>
          </w:tcPr>
          <w:p w14:paraId="417E4655" w14:textId="0728F667" w:rsidR="00EB42DA" w:rsidRDefault="00EB42DA" w:rsidP="008C3F4F">
            <w:pPr>
              <w:shd w:val="clear" w:color="auto" w:fill="FFFFFF"/>
              <w:rPr>
                <w:rFonts w:cs="Times New Roman"/>
              </w:rPr>
            </w:pPr>
            <w:r w:rsidRPr="00AD3178">
              <w:t>If the student has taken the first doctoral degree at WSU, the student must take a minimum of 15 core graded credits toward the second degree; none of the research credits from the first degree may count toward the second degree.</w:t>
            </w:r>
          </w:p>
        </w:tc>
        <w:tc>
          <w:tcPr>
            <w:tcW w:w="4195" w:type="dxa"/>
          </w:tcPr>
          <w:p w14:paraId="245CF9B5" w14:textId="7216A1AE" w:rsidR="00EB42DA" w:rsidRPr="00EE7664" w:rsidRDefault="00EB42DA" w:rsidP="00E578C3">
            <w:pPr>
              <w:rPr>
                <w:rFonts w:cs="Times New Roman"/>
              </w:rPr>
            </w:pPr>
            <w:r>
              <w:rPr>
                <w:rFonts w:cs="Times New Roman"/>
              </w:rPr>
              <w:t>Clarification was added regarding the minimum requirements for a second doctoral degree at WSU. This is current practice.</w:t>
            </w:r>
          </w:p>
        </w:tc>
      </w:tr>
      <w:tr w:rsidR="008C3F4F" w:rsidRPr="003E3BEC" w14:paraId="2DC41086" w14:textId="77777777" w:rsidTr="006A5C7C">
        <w:tc>
          <w:tcPr>
            <w:tcW w:w="2317" w:type="dxa"/>
          </w:tcPr>
          <w:p w14:paraId="6CC5EFFB" w14:textId="34F3FE0E" w:rsidR="008C3F4F" w:rsidRPr="00EE7664" w:rsidRDefault="008C3F4F" w:rsidP="008C3F4F">
            <w:pPr>
              <w:rPr>
                <w:rFonts w:cs="Times New Roman"/>
              </w:rPr>
            </w:pPr>
            <w:r w:rsidRPr="00EE7664">
              <w:rPr>
                <w:rFonts w:cs="Times New Roman"/>
              </w:rPr>
              <w:t>Chapter 9</w:t>
            </w:r>
          </w:p>
        </w:tc>
        <w:tc>
          <w:tcPr>
            <w:tcW w:w="3565" w:type="dxa"/>
          </w:tcPr>
          <w:p w14:paraId="00946ED1" w14:textId="1FED1B96" w:rsidR="008C3F4F" w:rsidRPr="00EE7664" w:rsidRDefault="008C3F4F" w:rsidP="008C3F4F">
            <w:pPr>
              <w:rPr>
                <w:rFonts w:cs="Times New Roman"/>
              </w:rPr>
            </w:pPr>
          </w:p>
        </w:tc>
        <w:tc>
          <w:tcPr>
            <w:tcW w:w="3905" w:type="dxa"/>
          </w:tcPr>
          <w:p w14:paraId="596BFA80" w14:textId="1F39F55D" w:rsidR="008C3F4F" w:rsidRPr="00EE7664" w:rsidRDefault="002B748E" w:rsidP="008C3F4F">
            <w:pPr>
              <w:shd w:val="clear" w:color="auto" w:fill="FFFFFF"/>
              <w:rPr>
                <w:rFonts w:cs="Times New Roman"/>
              </w:rPr>
            </w:pPr>
            <w:r>
              <w:rPr>
                <w:rFonts w:cs="Times New Roman"/>
              </w:rPr>
              <w:t>Definition</w:t>
            </w:r>
            <w:r w:rsidR="00EB42DA">
              <w:rPr>
                <w:rFonts w:cs="Times New Roman"/>
              </w:rPr>
              <w:t>s of TA, RA and SA were updated and other edits were made (for example, “salary” was changed to “stipend”) to align with FLSA guidelines.</w:t>
            </w:r>
          </w:p>
        </w:tc>
        <w:tc>
          <w:tcPr>
            <w:tcW w:w="4195" w:type="dxa"/>
          </w:tcPr>
          <w:p w14:paraId="147A165B" w14:textId="77777777" w:rsidR="00EB42DA" w:rsidRPr="00EB42DA" w:rsidRDefault="00EB42DA" w:rsidP="00EB42DA">
            <w:pPr>
              <w:pStyle w:val="CommentText"/>
              <w:rPr>
                <w:rFonts w:asciiTheme="minorHAnsi" w:hAnsiTheme="minorHAnsi"/>
                <w:sz w:val="22"/>
                <w:szCs w:val="22"/>
              </w:rPr>
            </w:pPr>
            <w:r w:rsidRPr="00EB42DA">
              <w:rPr>
                <w:rFonts w:asciiTheme="minorHAnsi" w:hAnsiTheme="minorHAnsi"/>
                <w:sz w:val="22"/>
                <w:szCs w:val="22"/>
              </w:rPr>
              <w:t>Policy was reviewed by AG’s Office to be in compliance with new FLSA guidelines implemented summer 2016. Language changes implemented immediately due to FLSA guidelines.  All FLSA changes and clarifications are highlighted in yellow and were made in August.</w:t>
            </w:r>
          </w:p>
          <w:p w14:paraId="39036E8B" w14:textId="77777777" w:rsidR="00EB42DA" w:rsidRDefault="00EB42DA" w:rsidP="00E578C3">
            <w:pPr>
              <w:rPr>
                <w:rFonts w:cs="Times New Roman"/>
              </w:rPr>
            </w:pPr>
          </w:p>
          <w:p w14:paraId="1E75F1A5" w14:textId="1F49B016" w:rsidR="008C3F4F" w:rsidRPr="00EE7664" w:rsidRDefault="00E578C3" w:rsidP="00E578C3">
            <w:pPr>
              <w:rPr>
                <w:rFonts w:cs="Times New Roman"/>
              </w:rPr>
            </w:pPr>
            <w:r>
              <w:rPr>
                <w:rFonts w:cs="Times New Roman"/>
              </w:rPr>
              <w:t xml:space="preserve"> </w:t>
            </w:r>
            <w:r w:rsidR="00E368EB">
              <w:rPr>
                <w:rFonts w:cs="Times New Roman"/>
              </w:rPr>
              <w:t>Policy language regarding health benefits may change with ACA requirements.</w:t>
            </w:r>
          </w:p>
        </w:tc>
      </w:tr>
      <w:tr w:rsidR="00EB42DA" w:rsidRPr="003E3BEC" w14:paraId="41C39C61" w14:textId="77777777" w:rsidTr="006A5C7C">
        <w:tc>
          <w:tcPr>
            <w:tcW w:w="2317" w:type="dxa"/>
          </w:tcPr>
          <w:p w14:paraId="5D554549" w14:textId="37D53072" w:rsidR="00EB42DA" w:rsidRDefault="00E368EB" w:rsidP="002B748E">
            <w:pPr>
              <w:rPr>
                <w:rFonts w:cs="Times New Roman"/>
              </w:rPr>
            </w:pPr>
            <w:r>
              <w:rPr>
                <w:rFonts w:cs="Times New Roman"/>
              </w:rPr>
              <w:t>Chapter 9</w:t>
            </w:r>
          </w:p>
        </w:tc>
        <w:tc>
          <w:tcPr>
            <w:tcW w:w="3565" w:type="dxa"/>
          </w:tcPr>
          <w:p w14:paraId="2B4FF5F6" w14:textId="77777777" w:rsidR="00EB42DA" w:rsidRPr="00EE7664" w:rsidRDefault="00EB42DA" w:rsidP="002B748E">
            <w:pPr>
              <w:rPr>
                <w:rFonts w:cs="Times New Roman"/>
              </w:rPr>
            </w:pPr>
          </w:p>
        </w:tc>
        <w:tc>
          <w:tcPr>
            <w:tcW w:w="3905" w:type="dxa"/>
          </w:tcPr>
          <w:p w14:paraId="359B9C2F" w14:textId="7FB75F34" w:rsidR="00EB42DA" w:rsidRPr="00E368EB" w:rsidRDefault="006F16AC" w:rsidP="00E368EB">
            <w:pPr>
              <w:shd w:val="clear" w:color="auto" w:fill="FFFFFF"/>
              <w:outlineLvl w:val="2"/>
              <w:rPr>
                <w:rFonts w:cs="Times New Roman"/>
              </w:rPr>
            </w:pPr>
            <w:r>
              <w:t>“</w:t>
            </w:r>
            <w:r w:rsidR="00E368EB">
              <w:t>Continuation of an assistantship is contingent upon satisfactory academic performance as determined by satisfactory annual reviews, maintaining the minimum GPA required by the program (as stated in the program handbook and/or offer letter), and satisfactory progress in research (no Unsatisfactory grades).</w:t>
            </w:r>
            <w:r>
              <w:t>”</w:t>
            </w:r>
          </w:p>
        </w:tc>
        <w:tc>
          <w:tcPr>
            <w:tcW w:w="4195" w:type="dxa"/>
          </w:tcPr>
          <w:p w14:paraId="2DC38B4C" w14:textId="4DB9B033" w:rsidR="00EB42DA" w:rsidRPr="00EE7664" w:rsidRDefault="006F16AC" w:rsidP="00E335A1">
            <w:pPr>
              <w:rPr>
                <w:rFonts w:cs="Times New Roman"/>
              </w:rPr>
            </w:pPr>
            <w:r>
              <w:rPr>
                <w:rFonts w:cs="Times New Roman"/>
              </w:rPr>
              <w:t>La</w:t>
            </w:r>
            <w:r w:rsidR="00EB42DA">
              <w:rPr>
                <w:rFonts w:cs="Times New Roman"/>
              </w:rPr>
              <w:t xml:space="preserve">nguage was </w:t>
            </w:r>
            <w:r w:rsidR="00E368EB">
              <w:rPr>
                <w:rFonts w:cs="Times New Roman"/>
              </w:rPr>
              <w:t>added</w:t>
            </w:r>
            <w:r w:rsidR="00EB42DA">
              <w:rPr>
                <w:rFonts w:cs="Times New Roman"/>
              </w:rPr>
              <w:t xml:space="preserve"> </w:t>
            </w:r>
            <w:r>
              <w:rPr>
                <w:rFonts w:cs="Times New Roman"/>
              </w:rPr>
              <w:t xml:space="preserve">to clarify </w:t>
            </w:r>
            <w:r w:rsidR="00E335A1">
              <w:rPr>
                <w:rFonts w:cs="Times New Roman"/>
              </w:rPr>
              <w:t>r</w:t>
            </w:r>
            <w:r>
              <w:rPr>
                <w:rFonts w:cs="Times New Roman"/>
              </w:rPr>
              <w:t>eappointment policy</w:t>
            </w:r>
            <w:r w:rsidR="00E368EB">
              <w:rPr>
                <w:rFonts w:cs="Times New Roman"/>
              </w:rPr>
              <w:t xml:space="preserve"> (section F.3)</w:t>
            </w:r>
            <w:r>
              <w:rPr>
                <w:rFonts w:cs="Times New Roman"/>
              </w:rPr>
              <w:t xml:space="preserve"> based on</w:t>
            </w:r>
            <w:r w:rsidR="00EB42DA" w:rsidRPr="00EE7664">
              <w:rPr>
                <w:rFonts w:cs="Times New Roman"/>
              </w:rPr>
              <w:t xml:space="preserve"> </w:t>
            </w:r>
            <w:r w:rsidR="00EB42DA">
              <w:rPr>
                <w:rFonts w:cs="Times New Roman"/>
              </w:rPr>
              <w:t xml:space="preserve">current </w:t>
            </w:r>
            <w:r w:rsidR="00EB42DA" w:rsidRPr="00EE7664">
              <w:rPr>
                <w:rFonts w:cs="Times New Roman"/>
              </w:rPr>
              <w:t>Graduate Sch</w:t>
            </w:r>
            <w:bookmarkStart w:id="0" w:name="_GoBack"/>
            <w:bookmarkEnd w:id="0"/>
            <w:r w:rsidR="00EB42DA" w:rsidRPr="00EE7664">
              <w:rPr>
                <w:rFonts w:cs="Times New Roman"/>
              </w:rPr>
              <w:t>ool/Program practices.</w:t>
            </w:r>
            <w:r w:rsidR="00E368EB">
              <w:rPr>
                <w:rFonts w:cs="Times New Roman"/>
              </w:rPr>
              <w:t xml:space="preserve"> </w:t>
            </w:r>
          </w:p>
        </w:tc>
      </w:tr>
      <w:tr w:rsidR="00E368EB" w:rsidRPr="003E3BEC" w14:paraId="4CD1F63C" w14:textId="77777777" w:rsidTr="006A5C7C">
        <w:tc>
          <w:tcPr>
            <w:tcW w:w="2317" w:type="dxa"/>
          </w:tcPr>
          <w:p w14:paraId="615E044B" w14:textId="75B06B27" w:rsidR="00E368EB" w:rsidRDefault="00E368EB" w:rsidP="002B748E">
            <w:pPr>
              <w:rPr>
                <w:rFonts w:cs="Times New Roman"/>
              </w:rPr>
            </w:pPr>
            <w:r>
              <w:rPr>
                <w:rFonts w:cs="Times New Roman"/>
              </w:rPr>
              <w:t>Chapter 9, Section A</w:t>
            </w:r>
          </w:p>
        </w:tc>
        <w:tc>
          <w:tcPr>
            <w:tcW w:w="3565" w:type="dxa"/>
          </w:tcPr>
          <w:p w14:paraId="6ED79247" w14:textId="4854440F" w:rsidR="00E368EB" w:rsidRPr="00EE7664" w:rsidRDefault="00E368EB" w:rsidP="002B748E">
            <w:pPr>
              <w:rPr>
                <w:rFonts w:cs="Times New Roman"/>
              </w:rPr>
            </w:pPr>
            <w:r>
              <w:rPr>
                <w:rFonts w:cs="Times New Roman"/>
              </w:rPr>
              <w:t>Visiting graduate students (VGS and VIGS) are eligible for assistantships</w:t>
            </w:r>
          </w:p>
        </w:tc>
        <w:tc>
          <w:tcPr>
            <w:tcW w:w="3905" w:type="dxa"/>
          </w:tcPr>
          <w:p w14:paraId="5F13903F" w14:textId="1940374F" w:rsidR="00E368EB" w:rsidRPr="00EE7664" w:rsidRDefault="00E368EB" w:rsidP="002B748E">
            <w:pPr>
              <w:rPr>
                <w:rFonts w:cs="Times New Roman"/>
              </w:rPr>
            </w:pPr>
            <w:r>
              <w:rPr>
                <w:rFonts w:cs="Times New Roman"/>
              </w:rPr>
              <w:t>Deleted—will review on a case-by-case basis</w:t>
            </w:r>
          </w:p>
        </w:tc>
        <w:tc>
          <w:tcPr>
            <w:tcW w:w="4195" w:type="dxa"/>
          </w:tcPr>
          <w:p w14:paraId="0C91B4CE" w14:textId="54817397" w:rsidR="00E368EB" w:rsidRDefault="00E368EB" w:rsidP="00EB42DA">
            <w:pPr>
              <w:rPr>
                <w:rFonts w:cs="Times New Roman"/>
              </w:rPr>
            </w:pPr>
            <w:r>
              <w:rPr>
                <w:rFonts w:cs="Times New Roman"/>
              </w:rPr>
              <w:t>Old policy, and it conflicts with current policy that non-degree students are not eligible for assistantships.</w:t>
            </w:r>
          </w:p>
        </w:tc>
      </w:tr>
      <w:tr w:rsidR="002B748E" w:rsidRPr="003E3BEC" w14:paraId="77101532" w14:textId="77777777" w:rsidTr="006A5C7C">
        <w:tc>
          <w:tcPr>
            <w:tcW w:w="2317" w:type="dxa"/>
          </w:tcPr>
          <w:p w14:paraId="3348BFFA" w14:textId="1771D8F8" w:rsidR="002B748E" w:rsidRPr="00EE7664" w:rsidRDefault="002B748E" w:rsidP="002B748E">
            <w:pPr>
              <w:rPr>
                <w:rFonts w:cs="Times New Roman"/>
              </w:rPr>
            </w:pPr>
            <w:r>
              <w:rPr>
                <w:rFonts w:cs="Times New Roman"/>
              </w:rPr>
              <w:t>Chapter 10</w:t>
            </w:r>
          </w:p>
        </w:tc>
        <w:tc>
          <w:tcPr>
            <w:tcW w:w="3565" w:type="dxa"/>
          </w:tcPr>
          <w:p w14:paraId="08F995D7" w14:textId="77777777" w:rsidR="002B748E" w:rsidRPr="00EE7664" w:rsidRDefault="002B748E" w:rsidP="002B748E">
            <w:pPr>
              <w:rPr>
                <w:rFonts w:cs="Times New Roman"/>
              </w:rPr>
            </w:pPr>
          </w:p>
        </w:tc>
        <w:tc>
          <w:tcPr>
            <w:tcW w:w="3905" w:type="dxa"/>
          </w:tcPr>
          <w:p w14:paraId="69F61F89" w14:textId="77777777" w:rsidR="002B748E" w:rsidRPr="00EE7664" w:rsidRDefault="002B748E" w:rsidP="002B748E">
            <w:pPr>
              <w:rPr>
                <w:rFonts w:cs="Times New Roman"/>
              </w:rPr>
            </w:pPr>
          </w:p>
        </w:tc>
        <w:tc>
          <w:tcPr>
            <w:tcW w:w="4195" w:type="dxa"/>
          </w:tcPr>
          <w:p w14:paraId="2224C115" w14:textId="326E4DDA" w:rsidR="002B748E" w:rsidRPr="00EE7664" w:rsidRDefault="002B748E" w:rsidP="002B748E">
            <w:pPr>
              <w:rPr>
                <w:rFonts w:cs="Times New Roman"/>
              </w:rPr>
            </w:pPr>
            <w:r w:rsidRPr="00EE7664">
              <w:rPr>
                <w:rFonts w:cs="Times New Roman"/>
              </w:rPr>
              <w:t xml:space="preserve">Language was clarified and/or updated throughout to reflect current strategic </w:t>
            </w:r>
            <w:r w:rsidRPr="00EE7664">
              <w:rPr>
                <w:rFonts w:cs="Times New Roman"/>
              </w:rPr>
              <w:lastRenderedPageBreak/>
              <w:t xml:space="preserve">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tc>
      </w:tr>
      <w:tr w:rsidR="002B748E" w:rsidRPr="003E3BEC" w14:paraId="2EE7F933" w14:textId="77777777" w:rsidTr="006A5C7C">
        <w:tc>
          <w:tcPr>
            <w:tcW w:w="2317" w:type="dxa"/>
          </w:tcPr>
          <w:p w14:paraId="3E12E7AD" w14:textId="320CF17C" w:rsidR="002B748E" w:rsidRPr="00EE7664" w:rsidRDefault="002B748E" w:rsidP="002B748E">
            <w:pPr>
              <w:rPr>
                <w:rFonts w:cs="Times New Roman"/>
              </w:rPr>
            </w:pPr>
            <w:r w:rsidRPr="00EE7664">
              <w:rPr>
                <w:rFonts w:cs="Times New Roman"/>
              </w:rPr>
              <w:lastRenderedPageBreak/>
              <w:t xml:space="preserve">Chapter 12,  Graduate Student Rights and Responsibilities </w:t>
            </w:r>
          </w:p>
        </w:tc>
        <w:tc>
          <w:tcPr>
            <w:tcW w:w="3565" w:type="dxa"/>
          </w:tcPr>
          <w:p w14:paraId="764EB98D" w14:textId="5E0E3E6E" w:rsidR="002B748E" w:rsidRPr="00EE7664" w:rsidRDefault="002B748E" w:rsidP="002B748E">
            <w:pPr>
              <w:rPr>
                <w:rFonts w:cs="Times New Roman"/>
              </w:rPr>
            </w:pPr>
          </w:p>
        </w:tc>
        <w:tc>
          <w:tcPr>
            <w:tcW w:w="3905" w:type="dxa"/>
          </w:tcPr>
          <w:p w14:paraId="45315108" w14:textId="097A9C62" w:rsidR="002B748E" w:rsidRPr="00EE7664" w:rsidRDefault="002B748E" w:rsidP="002B748E">
            <w:pPr>
              <w:rPr>
                <w:rFonts w:cs="Times New Roman"/>
              </w:rPr>
            </w:pPr>
          </w:p>
        </w:tc>
        <w:tc>
          <w:tcPr>
            <w:tcW w:w="4195" w:type="dxa"/>
          </w:tcPr>
          <w:p w14:paraId="0FFE6EA9" w14:textId="38A2E947" w:rsidR="002B748E" w:rsidRPr="00EE7664" w:rsidRDefault="002B748E" w:rsidP="002B748E">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tc>
      </w:tr>
      <w:tr w:rsidR="00247822" w:rsidRPr="003E3BEC" w14:paraId="7E2AD15B" w14:textId="77777777" w:rsidTr="006A5C7C">
        <w:tc>
          <w:tcPr>
            <w:tcW w:w="2317" w:type="dxa"/>
          </w:tcPr>
          <w:p w14:paraId="31B87501" w14:textId="3AF4B378" w:rsidR="00247822" w:rsidRDefault="00247822" w:rsidP="002B748E">
            <w:pPr>
              <w:rPr>
                <w:rFonts w:ascii="Times New Roman" w:hAnsi="Times New Roman" w:cs="Times New Roman"/>
                <w:sz w:val="24"/>
                <w:szCs w:val="24"/>
              </w:rPr>
            </w:pPr>
            <w:r>
              <w:rPr>
                <w:rFonts w:ascii="Times New Roman" w:hAnsi="Times New Roman" w:cs="Times New Roman"/>
                <w:sz w:val="24"/>
                <w:szCs w:val="24"/>
              </w:rPr>
              <w:t>Chapter 14</w:t>
            </w:r>
          </w:p>
        </w:tc>
        <w:tc>
          <w:tcPr>
            <w:tcW w:w="3565" w:type="dxa"/>
          </w:tcPr>
          <w:p w14:paraId="0C6D6F5F" w14:textId="77777777" w:rsidR="00247822" w:rsidRDefault="00247822" w:rsidP="002B748E">
            <w:pPr>
              <w:rPr>
                <w:rFonts w:ascii="Times New Roman" w:hAnsi="Times New Roman" w:cs="Times New Roman"/>
                <w:sz w:val="24"/>
                <w:szCs w:val="24"/>
              </w:rPr>
            </w:pPr>
          </w:p>
        </w:tc>
        <w:tc>
          <w:tcPr>
            <w:tcW w:w="3905" w:type="dxa"/>
          </w:tcPr>
          <w:p w14:paraId="5D565857" w14:textId="5DE84453" w:rsidR="00247822" w:rsidRDefault="00247822" w:rsidP="002B748E">
            <w:pPr>
              <w:rPr>
                <w:rFonts w:ascii="Times New Roman" w:hAnsi="Times New Roman" w:cs="Times New Roman"/>
                <w:sz w:val="24"/>
                <w:szCs w:val="24"/>
              </w:rPr>
            </w:pPr>
            <w:r>
              <w:rPr>
                <w:rFonts w:ascii="Times New Roman" w:hAnsi="Times New Roman" w:cs="Times New Roman"/>
                <w:sz w:val="24"/>
                <w:szCs w:val="24"/>
              </w:rPr>
              <w:t>“Professional” master’s program language was changed to “professionally oriented” master’s program</w:t>
            </w:r>
          </w:p>
        </w:tc>
        <w:tc>
          <w:tcPr>
            <w:tcW w:w="4195" w:type="dxa"/>
          </w:tcPr>
          <w:p w14:paraId="5487F0B9" w14:textId="54A41817" w:rsidR="00247822" w:rsidRPr="00EE7664" w:rsidRDefault="00247822" w:rsidP="002B748E">
            <w:pPr>
              <w:rPr>
                <w:rFonts w:cs="Times New Roman"/>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tc>
      </w:tr>
      <w:tr w:rsidR="002B748E" w:rsidRPr="003E3BEC" w14:paraId="632393E9" w14:textId="77777777" w:rsidTr="006A5C7C">
        <w:tc>
          <w:tcPr>
            <w:tcW w:w="2317" w:type="dxa"/>
          </w:tcPr>
          <w:p w14:paraId="100CF797" w14:textId="57D4FBA5" w:rsidR="002B748E" w:rsidRPr="00DD548B" w:rsidRDefault="002B748E" w:rsidP="002B748E">
            <w:pPr>
              <w:rPr>
                <w:rFonts w:ascii="Times New Roman" w:hAnsi="Times New Roman" w:cs="Times New Roman"/>
                <w:sz w:val="24"/>
                <w:szCs w:val="24"/>
              </w:rPr>
            </w:pPr>
            <w:r>
              <w:rPr>
                <w:rFonts w:ascii="Times New Roman" w:hAnsi="Times New Roman" w:cs="Times New Roman"/>
                <w:sz w:val="24"/>
                <w:szCs w:val="24"/>
              </w:rPr>
              <w:t>Chapter 14</w:t>
            </w:r>
            <w:r w:rsidR="005232DC">
              <w:rPr>
                <w:rFonts w:ascii="Times New Roman" w:hAnsi="Times New Roman" w:cs="Times New Roman"/>
                <w:sz w:val="24"/>
                <w:szCs w:val="24"/>
              </w:rPr>
              <w:t>, Section B.1</w:t>
            </w:r>
          </w:p>
        </w:tc>
        <w:tc>
          <w:tcPr>
            <w:tcW w:w="3565" w:type="dxa"/>
          </w:tcPr>
          <w:p w14:paraId="5C8310AE" w14:textId="7E4D5770" w:rsidR="002B748E" w:rsidRPr="00DD548B" w:rsidRDefault="005232DC" w:rsidP="002B748E">
            <w:pPr>
              <w:rPr>
                <w:rFonts w:ascii="Times New Roman" w:hAnsi="Times New Roman" w:cs="Times New Roman"/>
                <w:sz w:val="24"/>
                <w:szCs w:val="24"/>
              </w:rPr>
            </w:pPr>
            <w:r>
              <w:rPr>
                <w:rFonts w:ascii="Times New Roman" w:hAnsi="Times New Roman" w:cs="Times New Roman"/>
                <w:sz w:val="24"/>
                <w:szCs w:val="24"/>
              </w:rPr>
              <w:t>Capstone course was required to be graded S/F</w:t>
            </w:r>
          </w:p>
        </w:tc>
        <w:tc>
          <w:tcPr>
            <w:tcW w:w="3905" w:type="dxa"/>
          </w:tcPr>
          <w:p w14:paraId="2B23BF39" w14:textId="4889F7DE" w:rsidR="002B748E" w:rsidRPr="00DD548B" w:rsidRDefault="005232DC" w:rsidP="002B748E">
            <w:pPr>
              <w:rPr>
                <w:rFonts w:ascii="Times New Roman" w:hAnsi="Times New Roman" w:cs="Times New Roman"/>
                <w:sz w:val="24"/>
                <w:szCs w:val="24"/>
              </w:rPr>
            </w:pPr>
            <w:r>
              <w:rPr>
                <w:rFonts w:ascii="Times New Roman" w:hAnsi="Times New Roman" w:cs="Times New Roman"/>
                <w:sz w:val="24"/>
                <w:szCs w:val="24"/>
              </w:rPr>
              <w:t>Capstone course can be graded S/F or letter graded to provide program with more flexibility.</w:t>
            </w:r>
          </w:p>
        </w:tc>
        <w:tc>
          <w:tcPr>
            <w:tcW w:w="4195" w:type="dxa"/>
          </w:tcPr>
          <w:p w14:paraId="156BC9A6" w14:textId="0A18862E" w:rsidR="002B748E" w:rsidRPr="00DD548B" w:rsidRDefault="002B748E" w:rsidP="002B748E">
            <w:pPr>
              <w:rPr>
                <w:rFonts w:ascii="Times New Roman" w:hAnsi="Times New Roman" w:cs="Times New Roman"/>
                <w:sz w:val="24"/>
                <w:szCs w:val="24"/>
              </w:rPr>
            </w:pPr>
            <w:r w:rsidRPr="00EE7664">
              <w:rPr>
                <w:rFonts w:cs="Times New Roman"/>
              </w:rPr>
              <w:t xml:space="preserve">Language was clarified and/or updated throughout to reflect current strategic direction, </w:t>
            </w:r>
            <w:r>
              <w:rPr>
                <w:rFonts w:cs="Times New Roman"/>
              </w:rPr>
              <w:t xml:space="preserve">changes in processes due to </w:t>
            </w:r>
            <w:r w:rsidRPr="00EE7664">
              <w:rPr>
                <w:rFonts w:cs="Times New Roman"/>
              </w:rPr>
              <w:t xml:space="preserve">administrative/new technical structures, and </w:t>
            </w:r>
            <w:r>
              <w:rPr>
                <w:rFonts w:cs="Times New Roman"/>
              </w:rPr>
              <w:t xml:space="preserve">current </w:t>
            </w:r>
            <w:r w:rsidRPr="00EE7664">
              <w:rPr>
                <w:rFonts w:cs="Times New Roman"/>
              </w:rPr>
              <w:t>Graduate School/Program practices.</w:t>
            </w:r>
          </w:p>
        </w:tc>
      </w:tr>
    </w:tbl>
    <w:p w14:paraId="36A59C1B" w14:textId="60CE8961" w:rsidR="00A47FDC" w:rsidRDefault="00A47FDC"/>
    <w:sectPr w:rsidR="00A47FDC" w:rsidSect="000E0687">
      <w:headerReference w:type="default" r:id="rId7"/>
      <w:footerReference w:type="default" r:id="rId8"/>
      <w:pgSz w:w="15840" w:h="12240" w:orient="landscape" w:code="1"/>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E459" w14:textId="77777777" w:rsidR="00CE14EF" w:rsidRDefault="00CE14EF" w:rsidP="00854F0A">
      <w:pPr>
        <w:spacing w:after="0" w:line="240" w:lineRule="auto"/>
      </w:pPr>
      <w:r>
        <w:separator/>
      </w:r>
    </w:p>
  </w:endnote>
  <w:endnote w:type="continuationSeparator" w:id="0">
    <w:p w14:paraId="29B20546" w14:textId="77777777" w:rsidR="00CE14EF" w:rsidRDefault="00CE14EF" w:rsidP="0085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Bold">
    <w:altName w:val="Arial"/>
    <w:panose1 w:val="00000000000000000000"/>
    <w:charset w:val="00"/>
    <w:family w:val="roman"/>
    <w:notTrueType/>
    <w:pitch w:val="variable"/>
    <w:sig w:usb0="00000003" w:usb1="00000000" w:usb2="00000000" w:usb3="00000000" w:csb0="00000001"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CBE0" w14:textId="0A5C339C" w:rsidR="00854F0A" w:rsidRDefault="002626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33277D">
      <w:rPr>
        <w:rFonts w:asciiTheme="majorHAnsi" w:eastAsiaTheme="majorEastAsia" w:hAnsiTheme="majorHAnsi" w:cstheme="majorBidi"/>
      </w:rPr>
      <w:t>7-18</w:t>
    </w:r>
    <w:r w:rsidR="006A5C7C">
      <w:rPr>
        <w:rFonts w:asciiTheme="majorHAnsi" w:eastAsiaTheme="majorEastAsia" w:hAnsiTheme="majorHAnsi" w:cstheme="majorBidi"/>
      </w:rPr>
      <w:t xml:space="preserve"> </w:t>
    </w:r>
    <w:r w:rsidR="00E92970">
      <w:rPr>
        <w:rFonts w:asciiTheme="majorHAnsi" w:eastAsiaTheme="majorEastAsia" w:hAnsiTheme="majorHAnsi" w:cstheme="majorBidi"/>
      </w:rPr>
      <w:t xml:space="preserve">Graduate School Policies and Procedures Summary of Changes </w:t>
    </w:r>
    <w:r w:rsidR="00854F0A">
      <w:rPr>
        <w:rFonts w:asciiTheme="majorHAnsi" w:eastAsiaTheme="majorEastAsia" w:hAnsiTheme="majorHAnsi" w:cstheme="majorBidi"/>
      </w:rPr>
      <w:ptab w:relativeTo="margin" w:alignment="right" w:leader="none"/>
    </w:r>
    <w:r w:rsidR="00854F0A">
      <w:rPr>
        <w:rFonts w:asciiTheme="majorHAnsi" w:eastAsiaTheme="majorEastAsia" w:hAnsiTheme="majorHAnsi" w:cstheme="majorBidi"/>
      </w:rPr>
      <w:t xml:space="preserve">Page </w:t>
    </w:r>
    <w:r w:rsidR="00854F0A">
      <w:rPr>
        <w:rFonts w:eastAsiaTheme="minorEastAsia"/>
      </w:rPr>
      <w:fldChar w:fldCharType="begin"/>
    </w:r>
    <w:r w:rsidR="00854F0A">
      <w:instrText xml:space="preserve"> PAGE   \* MERGEFORMAT </w:instrText>
    </w:r>
    <w:r w:rsidR="00854F0A">
      <w:rPr>
        <w:rFonts w:eastAsiaTheme="minorEastAsia"/>
      </w:rPr>
      <w:fldChar w:fldCharType="separate"/>
    </w:r>
    <w:r w:rsidR="00E335A1" w:rsidRPr="00E335A1">
      <w:rPr>
        <w:rFonts w:asciiTheme="majorHAnsi" w:eastAsiaTheme="majorEastAsia" w:hAnsiTheme="majorHAnsi" w:cstheme="majorBidi"/>
        <w:noProof/>
      </w:rPr>
      <w:t>8</w:t>
    </w:r>
    <w:r w:rsidR="00854F0A">
      <w:rPr>
        <w:rFonts w:asciiTheme="majorHAnsi" w:eastAsiaTheme="majorEastAsia" w:hAnsiTheme="majorHAnsi" w:cstheme="majorBidi"/>
        <w:noProof/>
      </w:rPr>
      <w:fldChar w:fldCharType="end"/>
    </w:r>
  </w:p>
  <w:p w14:paraId="6F121AB4" w14:textId="77777777" w:rsidR="00854F0A" w:rsidRDefault="0085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BE9D" w14:textId="77777777" w:rsidR="00CE14EF" w:rsidRDefault="00CE14EF" w:rsidP="00854F0A">
      <w:pPr>
        <w:spacing w:after="0" w:line="240" w:lineRule="auto"/>
      </w:pPr>
      <w:r>
        <w:separator/>
      </w:r>
    </w:p>
  </w:footnote>
  <w:footnote w:type="continuationSeparator" w:id="0">
    <w:p w14:paraId="088D82B2" w14:textId="77777777" w:rsidR="00CE14EF" w:rsidRDefault="00CE14EF" w:rsidP="0085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0AFB" w14:textId="66EE387C" w:rsidR="00854F0A" w:rsidRDefault="0033277D" w:rsidP="00E92970">
    <w:pPr>
      <w:pStyle w:val="Header"/>
      <w:tabs>
        <w:tab w:val="clear" w:pos="4680"/>
        <w:tab w:val="clear" w:pos="9360"/>
        <w:tab w:val="left" w:pos="-900"/>
        <w:tab w:val="left" w:pos="-720"/>
      </w:tabs>
      <w:jc w:val="center"/>
      <w:rPr>
        <w:b/>
        <w:sz w:val="32"/>
        <w:szCs w:val="32"/>
      </w:rPr>
    </w:pPr>
    <w:r>
      <w:rPr>
        <w:b/>
        <w:sz w:val="32"/>
        <w:szCs w:val="32"/>
      </w:rPr>
      <w:t xml:space="preserve">2017-18 </w:t>
    </w:r>
    <w:r w:rsidR="00E92970" w:rsidRPr="00B77A88">
      <w:rPr>
        <w:b/>
        <w:sz w:val="32"/>
        <w:szCs w:val="32"/>
      </w:rPr>
      <w:t>Proposed Changes to the Graduate School Policies and Procedures Manual</w:t>
    </w:r>
  </w:p>
  <w:tbl>
    <w:tblPr>
      <w:tblStyle w:val="TableGrid"/>
      <w:tblW w:w="13982" w:type="dxa"/>
      <w:tblInd w:w="-432" w:type="dxa"/>
      <w:tblLayout w:type="fixed"/>
      <w:tblLook w:val="04A0" w:firstRow="1" w:lastRow="0" w:firstColumn="1" w:lastColumn="0" w:noHBand="0" w:noVBand="1"/>
    </w:tblPr>
    <w:tblGrid>
      <w:gridCol w:w="2317"/>
      <w:gridCol w:w="3565"/>
      <w:gridCol w:w="3905"/>
      <w:gridCol w:w="4195"/>
    </w:tblGrid>
    <w:tr w:rsidR="00247822" w:rsidRPr="00DD548B" w14:paraId="60FF0273" w14:textId="77777777" w:rsidTr="008C25AB">
      <w:tc>
        <w:tcPr>
          <w:tcW w:w="2317" w:type="dxa"/>
          <w:shd w:val="clear" w:color="auto" w:fill="FFFF00"/>
        </w:tcPr>
        <w:p w14:paraId="0429759E" w14:textId="77777777" w:rsidR="00247822" w:rsidRPr="00DD548B" w:rsidRDefault="00247822" w:rsidP="00247822">
          <w:pPr>
            <w:jc w:val="center"/>
            <w:rPr>
              <w:rFonts w:ascii="Times New Roman" w:hAnsi="Times New Roman" w:cs="Times New Roman"/>
              <w:b/>
              <w:sz w:val="24"/>
              <w:szCs w:val="24"/>
            </w:rPr>
          </w:pPr>
          <w:r w:rsidRPr="00DD548B">
            <w:rPr>
              <w:rFonts w:ascii="Times New Roman" w:hAnsi="Times New Roman" w:cs="Times New Roman"/>
              <w:b/>
              <w:sz w:val="24"/>
              <w:szCs w:val="24"/>
            </w:rPr>
            <w:t>CHAPTER-SECTION</w:t>
          </w:r>
        </w:p>
      </w:tc>
      <w:tc>
        <w:tcPr>
          <w:tcW w:w="3565" w:type="dxa"/>
          <w:shd w:val="clear" w:color="auto" w:fill="FFFF00"/>
        </w:tcPr>
        <w:p w14:paraId="4591D237" w14:textId="77777777" w:rsidR="00247822" w:rsidRPr="00DD548B" w:rsidRDefault="00247822" w:rsidP="00247822">
          <w:pPr>
            <w:jc w:val="center"/>
            <w:rPr>
              <w:rFonts w:ascii="Times New Roman" w:hAnsi="Times New Roman" w:cs="Times New Roman"/>
              <w:b/>
              <w:sz w:val="24"/>
              <w:szCs w:val="24"/>
            </w:rPr>
          </w:pPr>
          <w:r w:rsidRPr="00DD548B">
            <w:rPr>
              <w:rFonts w:ascii="Times New Roman" w:hAnsi="Times New Roman" w:cs="Times New Roman"/>
              <w:b/>
              <w:sz w:val="24"/>
              <w:szCs w:val="24"/>
            </w:rPr>
            <w:t>OLD POLICY</w:t>
          </w:r>
        </w:p>
      </w:tc>
      <w:tc>
        <w:tcPr>
          <w:tcW w:w="3905" w:type="dxa"/>
          <w:shd w:val="clear" w:color="auto" w:fill="FFFF00"/>
        </w:tcPr>
        <w:p w14:paraId="063A5B14" w14:textId="77777777" w:rsidR="00247822" w:rsidRDefault="00247822" w:rsidP="00247822">
          <w:pPr>
            <w:jc w:val="center"/>
            <w:rPr>
              <w:rFonts w:ascii="Times New Roman" w:hAnsi="Times New Roman" w:cs="Times New Roman"/>
              <w:b/>
              <w:sz w:val="24"/>
              <w:szCs w:val="24"/>
            </w:rPr>
          </w:pPr>
          <w:r>
            <w:rPr>
              <w:rFonts w:ascii="Times New Roman" w:hAnsi="Times New Roman" w:cs="Times New Roman"/>
              <w:b/>
              <w:sz w:val="24"/>
              <w:szCs w:val="24"/>
            </w:rPr>
            <w:t xml:space="preserve">POLICY </w:t>
          </w:r>
          <w:r w:rsidRPr="00DD548B">
            <w:rPr>
              <w:rFonts w:ascii="Times New Roman" w:hAnsi="Times New Roman" w:cs="Times New Roman"/>
              <w:b/>
              <w:sz w:val="24"/>
              <w:szCs w:val="24"/>
            </w:rPr>
            <w:t>CHANGE</w:t>
          </w:r>
          <w:r>
            <w:rPr>
              <w:rFonts w:ascii="Times New Roman" w:hAnsi="Times New Roman" w:cs="Times New Roman"/>
              <w:b/>
              <w:sz w:val="24"/>
              <w:szCs w:val="24"/>
            </w:rPr>
            <w:t xml:space="preserve"> OR </w:t>
          </w:r>
        </w:p>
        <w:p w14:paraId="07C4D29B" w14:textId="77777777" w:rsidR="00247822" w:rsidRPr="00DD548B" w:rsidRDefault="00247822" w:rsidP="00247822">
          <w:pPr>
            <w:jc w:val="center"/>
            <w:rPr>
              <w:rFonts w:ascii="Times New Roman" w:hAnsi="Times New Roman" w:cs="Times New Roman"/>
              <w:b/>
              <w:sz w:val="24"/>
              <w:szCs w:val="24"/>
            </w:rPr>
          </w:pPr>
          <w:r>
            <w:rPr>
              <w:rFonts w:ascii="Times New Roman" w:hAnsi="Times New Roman" w:cs="Times New Roman"/>
              <w:b/>
              <w:sz w:val="24"/>
              <w:szCs w:val="24"/>
            </w:rPr>
            <w:t>NEW POLICY</w:t>
          </w:r>
        </w:p>
      </w:tc>
      <w:tc>
        <w:tcPr>
          <w:tcW w:w="4195" w:type="dxa"/>
          <w:shd w:val="clear" w:color="auto" w:fill="FFFF00"/>
        </w:tcPr>
        <w:p w14:paraId="24D02A99" w14:textId="77777777" w:rsidR="00247822" w:rsidRPr="00DD548B" w:rsidRDefault="00247822" w:rsidP="00247822">
          <w:pPr>
            <w:jc w:val="center"/>
            <w:rPr>
              <w:rFonts w:ascii="Times New Roman" w:hAnsi="Times New Roman" w:cs="Times New Roman"/>
              <w:b/>
              <w:sz w:val="24"/>
              <w:szCs w:val="24"/>
            </w:rPr>
          </w:pPr>
          <w:r w:rsidRPr="00DD548B">
            <w:rPr>
              <w:rFonts w:ascii="Times New Roman" w:hAnsi="Times New Roman" w:cs="Times New Roman"/>
              <w:b/>
              <w:sz w:val="24"/>
              <w:szCs w:val="24"/>
            </w:rPr>
            <w:t>COMMENTS</w:t>
          </w:r>
          <w:r>
            <w:rPr>
              <w:rFonts w:ascii="Times New Roman" w:hAnsi="Times New Roman" w:cs="Times New Roman"/>
              <w:b/>
              <w:sz w:val="24"/>
              <w:szCs w:val="24"/>
            </w:rPr>
            <w:t>/RATIONALE</w:t>
          </w:r>
        </w:p>
      </w:tc>
    </w:tr>
  </w:tbl>
  <w:p w14:paraId="5BF9DE56" w14:textId="77777777" w:rsidR="00247822" w:rsidRPr="00B77A88" w:rsidRDefault="00247822" w:rsidP="00247822">
    <w:pPr>
      <w:pStyle w:val="Header"/>
      <w:tabs>
        <w:tab w:val="clear" w:pos="4680"/>
        <w:tab w:val="clear" w:pos="9360"/>
        <w:tab w:val="left" w:pos="-900"/>
        <w:tab w:val="left" w:pos="-720"/>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2B"/>
    <w:multiLevelType w:val="hybridMultilevel"/>
    <w:tmpl w:val="BA76B3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1728D"/>
    <w:multiLevelType w:val="hybridMultilevel"/>
    <w:tmpl w:val="D24A1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5352"/>
    <w:multiLevelType w:val="hybridMultilevel"/>
    <w:tmpl w:val="898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0B0"/>
    <w:multiLevelType w:val="hybridMultilevel"/>
    <w:tmpl w:val="992E26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47CD"/>
    <w:multiLevelType w:val="hybridMultilevel"/>
    <w:tmpl w:val="7DC0BFE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6062FF"/>
    <w:multiLevelType w:val="hybridMultilevel"/>
    <w:tmpl w:val="B17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46690"/>
    <w:multiLevelType w:val="hybridMultilevel"/>
    <w:tmpl w:val="D1C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7502"/>
    <w:multiLevelType w:val="multilevel"/>
    <w:tmpl w:val="2766D29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BBD7192"/>
    <w:multiLevelType w:val="multilevel"/>
    <w:tmpl w:val="4134B568"/>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C24C55"/>
    <w:multiLevelType w:val="hybridMultilevel"/>
    <w:tmpl w:val="3DA0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49CB"/>
    <w:multiLevelType w:val="hybridMultilevel"/>
    <w:tmpl w:val="959E6E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E1C63"/>
    <w:multiLevelType w:val="hybridMultilevel"/>
    <w:tmpl w:val="682A7922"/>
    <w:lvl w:ilvl="0" w:tplc="B13CD4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B37DA"/>
    <w:multiLevelType w:val="hybridMultilevel"/>
    <w:tmpl w:val="C74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042DA"/>
    <w:multiLevelType w:val="hybridMultilevel"/>
    <w:tmpl w:val="C140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45E44AA"/>
    <w:multiLevelType w:val="hybridMultilevel"/>
    <w:tmpl w:val="B1E29F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3D5A66"/>
    <w:multiLevelType w:val="hybridMultilevel"/>
    <w:tmpl w:val="777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E093B"/>
    <w:multiLevelType w:val="hybridMultilevel"/>
    <w:tmpl w:val="BC4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D2D37"/>
    <w:multiLevelType w:val="multilevel"/>
    <w:tmpl w:val="8E98E578"/>
    <w:lvl w:ilvl="0">
      <w:start w:val="1"/>
      <w:numFmt w:val="bullet"/>
      <w:lvlText w:val=""/>
      <w:lvlJc w:val="left"/>
      <w:pPr>
        <w:tabs>
          <w:tab w:val="num" w:pos="1800"/>
        </w:tabs>
        <w:ind w:left="1800" w:hanging="360"/>
      </w:pPr>
      <w:rPr>
        <w:rFonts w:ascii="Symbol" w:hAnsi="Symbol" w:hint="default"/>
        <w:color w:val="auto"/>
      </w:rPr>
    </w:lvl>
    <w:lvl w:ilvl="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18" w15:restartNumberingAfterBreak="0">
    <w:nsid w:val="74E70FF6"/>
    <w:multiLevelType w:val="hybridMultilevel"/>
    <w:tmpl w:val="EB024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FF4336"/>
    <w:multiLevelType w:val="hybridMultilevel"/>
    <w:tmpl w:val="5E8EE4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E387853"/>
    <w:multiLevelType w:val="hybridMultilevel"/>
    <w:tmpl w:val="ADE8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684038"/>
    <w:multiLevelType w:val="hybridMultilevel"/>
    <w:tmpl w:val="E028E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7"/>
  </w:num>
  <w:num w:numId="5">
    <w:abstractNumId w:val="12"/>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2"/>
  </w:num>
  <w:num w:numId="11">
    <w:abstractNumId w:val="21"/>
  </w:num>
  <w:num w:numId="12">
    <w:abstractNumId w:val="18"/>
  </w:num>
  <w:num w:numId="13">
    <w:abstractNumId w:val="0"/>
  </w:num>
  <w:num w:numId="14">
    <w:abstractNumId w:val="14"/>
  </w:num>
  <w:num w:numId="15">
    <w:abstractNumId w:val="4"/>
  </w:num>
  <w:num w:numId="16">
    <w:abstractNumId w:val="5"/>
  </w:num>
  <w:num w:numId="17">
    <w:abstractNumId w:val="17"/>
  </w:num>
  <w:num w:numId="18">
    <w:abstractNumId w:val="16"/>
  </w:num>
  <w:num w:numId="19">
    <w:abstractNumId w:val="19"/>
  </w:num>
  <w:num w:numId="20">
    <w:abstractNumId w:val="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2A"/>
    <w:rsid w:val="0001457A"/>
    <w:rsid w:val="00032CB1"/>
    <w:rsid w:val="00051737"/>
    <w:rsid w:val="0006223A"/>
    <w:rsid w:val="00071062"/>
    <w:rsid w:val="000A1094"/>
    <w:rsid w:val="000D0C54"/>
    <w:rsid w:val="000D191C"/>
    <w:rsid w:val="000D3510"/>
    <w:rsid w:val="000D4C84"/>
    <w:rsid w:val="000D6C58"/>
    <w:rsid w:val="000E0687"/>
    <w:rsid w:val="00113798"/>
    <w:rsid w:val="001258A2"/>
    <w:rsid w:val="00147798"/>
    <w:rsid w:val="0017033D"/>
    <w:rsid w:val="0017231F"/>
    <w:rsid w:val="001928AC"/>
    <w:rsid w:val="001A35E0"/>
    <w:rsid w:val="001A4C88"/>
    <w:rsid w:val="001D4A9A"/>
    <w:rsid w:val="001E7431"/>
    <w:rsid w:val="002045A1"/>
    <w:rsid w:val="00217BF5"/>
    <w:rsid w:val="00224A19"/>
    <w:rsid w:val="00240817"/>
    <w:rsid w:val="00244873"/>
    <w:rsid w:val="00247822"/>
    <w:rsid w:val="002564A6"/>
    <w:rsid w:val="00257E9A"/>
    <w:rsid w:val="00262646"/>
    <w:rsid w:val="00285EF0"/>
    <w:rsid w:val="002A2652"/>
    <w:rsid w:val="002A2840"/>
    <w:rsid w:val="002B748E"/>
    <w:rsid w:val="002C5FE3"/>
    <w:rsid w:val="002E6895"/>
    <w:rsid w:val="002E7157"/>
    <w:rsid w:val="00300808"/>
    <w:rsid w:val="0033277D"/>
    <w:rsid w:val="00332D07"/>
    <w:rsid w:val="003515CD"/>
    <w:rsid w:val="003A7914"/>
    <w:rsid w:val="003C686F"/>
    <w:rsid w:val="003E3BEC"/>
    <w:rsid w:val="003E604F"/>
    <w:rsid w:val="003F2900"/>
    <w:rsid w:val="00400F1E"/>
    <w:rsid w:val="00417165"/>
    <w:rsid w:val="00456CDB"/>
    <w:rsid w:val="00467EC6"/>
    <w:rsid w:val="00470790"/>
    <w:rsid w:val="0047343D"/>
    <w:rsid w:val="00473B89"/>
    <w:rsid w:val="004752C4"/>
    <w:rsid w:val="00476C70"/>
    <w:rsid w:val="00483720"/>
    <w:rsid w:val="00496599"/>
    <w:rsid w:val="004A29E5"/>
    <w:rsid w:val="004A3EC6"/>
    <w:rsid w:val="004B117E"/>
    <w:rsid w:val="004B5807"/>
    <w:rsid w:val="00507193"/>
    <w:rsid w:val="00512DB7"/>
    <w:rsid w:val="005232DC"/>
    <w:rsid w:val="005241A3"/>
    <w:rsid w:val="00532F8A"/>
    <w:rsid w:val="0055024C"/>
    <w:rsid w:val="00560290"/>
    <w:rsid w:val="00575129"/>
    <w:rsid w:val="005843BB"/>
    <w:rsid w:val="00590AF8"/>
    <w:rsid w:val="005A5AE1"/>
    <w:rsid w:val="005B0FA8"/>
    <w:rsid w:val="005B26B6"/>
    <w:rsid w:val="005C4CD5"/>
    <w:rsid w:val="005C5693"/>
    <w:rsid w:val="005E7A1B"/>
    <w:rsid w:val="005F0EDF"/>
    <w:rsid w:val="00604CC0"/>
    <w:rsid w:val="00626BAF"/>
    <w:rsid w:val="00685775"/>
    <w:rsid w:val="006904F0"/>
    <w:rsid w:val="006A22EC"/>
    <w:rsid w:val="006A5C7C"/>
    <w:rsid w:val="006F01E4"/>
    <w:rsid w:val="006F16AC"/>
    <w:rsid w:val="006F546F"/>
    <w:rsid w:val="00707ADD"/>
    <w:rsid w:val="00711FCD"/>
    <w:rsid w:val="00730FF0"/>
    <w:rsid w:val="00731FD4"/>
    <w:rsid w:val="00732A35"/>
    <w:rsid w:val="00775065"/>
    <w:rsid w:val="00787C31"/>
    <w:rsid w:val="007936E2"/>
    <w:rsid w:val="007959CA"/>
    <w:rsid w:val="007961CC"/>
    <w:rsid w:val="007A1E27"/>
    <w:rsid w:val="007D20D5"/>
    <w:rsid w:val="007D4E5B"/>
    <w:rsid w:val="007E5504"/>
    <w:rsid w:val="007F10B5"/>
    <w:rsid w:val="008076BD"/>
    <w:rsid w:val="00843868"/>
    <w:rsid w:val="00854F0A"/>
    <w:rsid w:val="00871EB8"/>
    <w:rsid w:val="008A13CC"/>
    <w:rsid w:val="008B1979"/>
    <w:rsid w:val="008C3F4F"/>
    <w:rsid w:val="008F408A"/>
    <w:rsid w:val="00920B7B"/>
    <w:rsid w:val="00931F58"/>
    <w:rsid w:val="009653CE"/>
    <w:rsid w:val="00985D78"/>
    <w:rsid w:val="009B232E"/>
    <w:rsid w:val="009D4520"/>
    <w:rsid w:val="009E23D0"/>
    <w:rsid w:val="009F7821"/>
    <w:rsid w:val="00A07505"/>
    <w:rsid w:val="00A22903"/>
    <w:rsid w:val="00A23159"/>
    <w:rsid w:val="00A47FDC"/>
    <w:rsid w:val="00A67E86"/>
    <w:rsid w:val="00A7156B"/>
    <w:rsid w:val="00A72602"/>
    <w:rsid w:val="00A72873"/>
    <w:rsid w:val="00AA043E"/>
    <w:rsid w:val="00AF7E30"/>
    <w:rsid w:val="00B17A64"/>
    <w:rsid w:val="00B270F8"/>
    <w:rsid w:val="00B34B92"/>
    <w:rsid w:val="00B50537"/>
    <w:rsid w:val="00B51F1A"/>
    <w:rsid w:val="00B6089F"/>
    <w:rsid w:val="00B67B50"/>
    <w:rsid w:val="00B77A88"/>
    <w:rsid w:val="00B8407E"/>
    <w:rsid w:val="00B84B14"/>
    <w:rsid w:val="00BD0248"/>
    <w:rsid w:val="00BD523B"/>
    <w:rsid w:val="00BE0D8B"/>
    <w:rsid w:val="00BE1279"/>
    <w:rsid w:val="00BE7A81"/>
    <w:rsid w:val="00C005E4"/>
    <w:rsid w:val="00C15BEC"/>
    <w:rsid w:val="00C2791E"/>
    <w:rsid w:val="00C52500"/>
    <w:rsid w:val="00C71257"/>
    <w:rsid w:val="00C86F76"/>
    <w:rsid w:val="00CB38D9"/>
    <w:rsid w:val="00CE14EF"/>
    <w:rsid w:val="00CE4572"/>
    <w:rsid w:val="00CE4A03"/>
    <w:rsid w:val="00D03D94"/>
    <w:rsid w:val="00D14511"/>
    <w:rsid w:val="00D17362"/>
    <w:rsid w:val="00D273B7"/>
    <w:rsid w:val="00D37BF5"/>
    <w:rsid w:val="00D41294"/>
    <w:rsid w:val="00D44CA0"/>
    <w:rsid w:val="00D6070D"/>
    <w:rsid w:val="00D816EB"/>
    <w:rsid w:val="00D8193F"/>
    <w:rsid w:val="00D8512B"/>
    <w:rsid w:val="00D87D79"/>
    <w:rsid w:val="00D9152E"/>
    <w:rsid w:val="00DD548B"/>
    <w:rsid w:val="00E335A1"/>
    <w:rsid w:val="00E368EB"/>
    <w:rsid w:val="00E50646"/>
    <w:rsid w:val="00E578C3"/>
    <w:rsid w:val="00E763A0"/>
    <w:rsid w:val="00E8202A"/>
    <w:rsid w:val="00E86AA6"/>
    <w:rsid w:val="00E92970"/>
    <w:rsid w:val="00EA3A38"/>
    <w:rsid w:val="00EB236C"/>
    <w:rsid w:val="00EB42DA"/>
    <w:rsid w:val="00EE40B9"/>
    <w:rsid w:val="00EE7664"/>
    <w:rsid w:val="00F41C64"/>
    <w:rsid w:val="00F80DFD"/>
    <w:rsid w:val="00FA69D0"/>
    <w:rsid w:val="00FB1522"/>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ADE1B"/>
  <w15:docId w15:val="{FA034363-2454-4E21-B71C-DF83005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20"/>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32A35"/>
    <w:rPr>
      <w:sz w:val="16"/>
      <w:szCs w:val="16"/>
    </w:rPr>
  </w:style>
  <w:style w:type="paragraph" w:styleId="CommentText">
    <w:name w:val="annotation text"/>
    <w:basedOn w:val="Normal"/>
    <w:link w:val="CommentTextChar"/>
    <w:uiPriority w:val="99"/>
    <w:unhideWhenUsed/>
    <w:rsid w:val="00732A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2A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5"/>
    <w:rPr>
      <w:rFonts w:ascii="Tahoma" w:hAnsi="Tahoma" w:cs="Tahoma"/>
      <w:sz w:val="16"/>
      <w:szCs w:val="16"/>
    </w:rPr>
  </w:style>
  <w:style w:type="paragraph" w:styleId="Header">
    <w:name w:val="header"/>
    <w:basedOn w:val="Normal"/>
    <w:link w:val="HeaderChar"/>
    <w:uiPriority w:val="99"/>
    <w:unhideWhenUsed/>
    <w:rsid w:val="0085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0A"/>
  </w:style>
  <w:style w:type="paragraph" w:styleId="Footer">
    <w:name w:val="footer"/>
    <w:basedOn w:val="Normal"/>
    <w:link w:val="FooterChar"/>
    <w:uiPriority w:val="99"/>
    <w:unhideWhenUsed/>
    <w:rsid w:val="0085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0A"/>
  </w:style>
  <w:style w:type="character" w:styleId="Hyperlink">
    <w:name w:val="Hyperlink"/>
    <w:uiPriority w:val="99"/>
    <w:rsid w:val="00B84B14"/>
    <w:rPr>
      <w:rFonts w:cs="Times New Roman"/>
      <w:color w:val="0000FF"/>
      <w:u w:val="single"/>
    </w:rPr>
  </w:style>
  <w:style w:type="paragraph" w:customStyle="1" w:styleId="Pa48">
    <w:name w:val="Pa48"/>
    <w:basedOn w:val="Normal"/>
    <w:next w:val="Normal"/>
    <w:uiPriority w:val="99"/>
    <w:rsid w:val="005843BB"/>
    <w:pPr>
      <w:autoSpaceDE w:val="0"/>
      <w:autoSpaceDN w:val="0"/>
      <w:adjustRightInd w:val="0"/>
      <w:spacing w:after="0" w:line="161" w:lineRule="atLeast"/>
    </w:pPr>
    <w:rPr>
      <w:rFonts w:ascii="Stone Serif Bold" w:eastAsia="Times New Roman" w:hAnsi="Stone Serif Bold" w:cs="Times New Roman"/>
      <w:sz w:val="24"/>
      <w:szCs w:val="24"/>
    </w:rPr>
  </w:style>
  <w:style w:type="paragraph" w:styleId="CommentSubject">
    <w:name w:val="annotation subject"/>
    <w:basedOn w:val="CommentText"/>
    <w:next w:val="CommentText"/>
    <w:link w:val="CommentSubjectChar"/>
    <w:uiPriority w:val="99"/>
    <w:semiHidden/>
    <w:unhideWhenUsed/>
    <w:rsid w:val="003A791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7914"/>
    <w:rPr>
      <w:rFonts w:ascii="Times New Roman" w:eastAsia="Times New Roman" w:hAnsi="Times New Roman" w:cs="Times New Roman"/>
      <w:b/>
      <w:bCs/>
      <w:sz w:val="20"/>
      <w:szCs w:val="20"/>
    </w:rPr>
  </w:style>
  <w:style w:type="paragraph" w:styleId="NormalWeb">
    <w:name w:val="Normal (Web)"/>
    <w:basedOn w:val="Normal"/>
    <w:uiPriority w:val="99"/>
    <w:rsid w:val="00560290"/>
    <w:pPr>
      <w:shd w:val="clear" w:color="auto" w:fill="FFFFFF"/>
      <w:spacing w:before="100" w:beforeAutospacing="1" w:after="100" w:afterAutospacing="1" w:line="240" w:lineRule="auto"/>
      <w:outlineLvl w:val="2"/>
    </w:pPr>
    <w:rPr>
      <w:rFonts w:ascii="ITC Stone Sans Std Medium" w:eastAsia="Times New Roman" w:hAnsi="ITC Stone Sans Std Medium"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Sturko, Patricia Ann</dc:creator>
  <cp:lastModifiedBy>Sturko, Patricia Ann</cp:lastModifiedBy>
  <cp:revision>23</cp:revision>
  <cp:lastPrinted>2015-02-06T16:21:00Z</cp:lastPrinted>
  <dcterms:created xsi:type="dcterms:W3CDTF">2016-07-20T19:36:00Z</dcterms:created>
  <dcterms:modified xsi:type="dcterms:W3CDTF">2016-09-13T15:12:00Z</dcterms:modified>
</cp:coreProperties>
</file>