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982" w:type="dxa"/>
        <w:tblInd w:w="-432" w:type="dxa"/>
        <w:tblLayout w:type="fixed"/>
        <w:tblLook w:val="04A0" w:firstRow="1" w:lastRow="0" w:firstColumn="1" w:lastColumn="0" w:noHBand="0" w:noVBand="1"/>
      </w:tblPr>
      <w:tblGrid>
        <w:gridCol w:w="2317"/>
        <w:gridCol w:w="3565"/>
        <w:gridCol w:w="3905"/>
        <w:gridCol w:w="4195"/>
      </w:tblGrid>
      <w:tr w:rsidR="00E8202A" w14:paraId="1789ACA0" w14:textId="77777777" w:rsidTr="006A5C7C">
        <w:tc>
          <w:tcPr>
            <w:tcW w:w="2317" w:type="dxa"/>
            <w:shd w:val="clear" w:color="auto" w:fill="FFFF00"/>
          </w:tcPr>
          <w:p w14:paraId="05DF3821" w14:textId="77777777" w:rsidR="00E8202A" w:rsidRPr="00DD548B" w:rsidRDefault="00931F58" w:rsidP="00931F58">
            <w:pPr>
              <w:jc w:val="center"/>
              <w:rPr>
                <w:rFonts w:ascii="Times New Roman" w:hAnsi="Times New Roman" w:cs="Times New Roman"/>
                <w:b/>
                <w:sz w:val="24"/>
                <w:szCs w:val="24"/>
              </w:rPr>
            </w:pPr>
            <w:r w:rsidRPr="00DD548B">
              <w:rPr>
                <w:rFonts w:ascii="Times New Roman" w:hAnsi="Times New Roman" w:cs="Times New Roman"/>
                <w:b/>
                <w:sz w:val="24"/>
                <w:szCs w:val="24"/>
              </w:rPr>
              <w:t>CHAPTER</w:t>
            </w:r>
            <w:r w:rsidR="007A1E27" w:rsidRPr="00DD548B">
              <w:rPr>
                <w:rFonts w:ascii="Times New Roman" w:hAnsi="Times New Roman" w:cs="Times New Roman"/>
                <w:b/>
                <w:sz w:val="24"/>
                <w:szCs w:val="24"/>
              </w:rPr>
              <w:t>-</w:t>
            </w:r>
            <w:r w:rsidRPr="00DD548B">
              <w:rPr>
                <w:rFonts w:ascii="Times New Roman" w:hAnsi="Times New Roman" w:cs="Times New Roman"/>
                <w:b/>
                <w:sz w:val="24"/>
                <w:szCs w:val="24"/>
              </w:rPr>
              <w:t>SECTION</w:t>
            </w:r>
          </w:p>
        </w:tc>
        <w:tc>
          <w:tcPr>
            <w:tcW w:w="3565" w:type="dxa"/>
            <w:shd w:val="clear" w:color="auto" w:fill="FFFF00"/>
          </w:tcPr>
          <w:p w14:paraId="5F79057B" w14:textId="77777777" w:rsidR="00E8202A" w:rsidRPr="00DD548B" w:rsidRDefault="00931F58" w:rsidP="00931F58">
            <w:pPr>
              <w:jc w:val="center"/>
              <w:rPr>
                <w:rFonts w:ascii="Times New Roman" w:hAnsi="Times New Roman" w:cs="Times New Roman"/>
                <w:b/>
                <w:sz w:val="24"/>
                <w:szCs w:val="24"/>
              </w:rPr>
            </w:pPr>
            <w:r w:rsidRPr="00DD548B">
              <w:rPr>
                <w:rFonts w:ascii="Times New Roman" w:hAnsi="Times New Roman" w:cs="Times New Roman"/>
                <w:b/>
                <w:sz w:val="24"/>
                <w:szCs w:val="24"/>
              </w:rPr>
              <w:t>OLD POLICY</w:t>
            </w:r>
          </w:p>
        </w:tc>
        <w:tc>
          <w:tcPr>
            <w:tcW w:w="3905" w:type="dxa"/>
            <w:shd w:val="clear" w:color="auto" w:fill="FFFF00"/>
          </w:tcPr>
          <w:p w14:paraId="40D42211" w14:textId="77777777" w:rsidR="00E8202A" w:rsidRPr="00DD548B" w:rsidRDefault="00931F58" w:rsidP="00931F58">
            <w:pPr>
              <w:jc w:val="center"/>
              <w:rPr>
                <w:rFonts w:ascii="Times New Roman" w:hAnsi="Times New Roman" w:cs="Times New Roman"/>
                <w:b/>
                <w:sz w:val="24"/>
                <w:szCs w:val="24"/>
              </w:rPr>
            </w:pPr>
            <w:r w:rsidRPr="00DD548B">
              <w:rPr>
                <w:rFonts w:ascii="Times New Roman" w:hAnsi="Times New Roman" w:cs="Times New Roman"/>
                <w:b/>
                <w:sz w:val="24"/>
                <w:szCs w:val="24"/>
              </w:rPr>
              <w:t>CHANGE</w:t>
            </w:r>
          </w:p>
        </w:tc>
        <w:tc>
          <w:tcPr>
            <w:tcW w:w="4195" w:type="dxa"/>
            <w:shd w:val="clear" w:color="auto" w:fill="FFFF00"/>
          </w:tcPr>
          <w:p w14:paraId="252BAC9C" w14:textId="77777777" w:rsidR="00E8202A" w:rsidRPr="00DD548B" w:rsidRDefault="00931F58" w:rsidP="00931F58">
            <w:pPr>
              <w:jc w:val="center"/>
              <w:rPr>
                <w:rFonts w:ascii="Times New Roman" w:hAnsi="Times New Roman" w:cs="Times New Roman"/>
                <w:b/>
                <w:sz w:val="24"/>
                <w:szCs w:val="24"/>
              </w:rPr>
            </w:pPr>
            <w:r w:rsidRPr="00DD548B">
              <w:rPr>
                <w:rFonts w:ascii="Times New Roman" w:hAnsi="Times New Roman" w:cs="Times New Roman"/>
                <w:b/>
                <w:sz w:val="24"/>
                <w:szCs w:val="24"/>
              </w:rPr>
              <w:t>COMMENTS</w:t>
            </w:r>
          </w:p>
        </w:tc>
      </w:tr>
      <w:tr w:rsidR="0055024C" w:rsidRPr="003E3BEC" w14:paraId="1BEC36A7" w14:textId="77777777" w:rsidTr="006A5C7C">
        <w:tc>
          <w:tcPr>
            <w:tcW w:w="2317" w:type="dxa"/>
          </w:tcPr>
          <w:p w14:paraId="17B02256" w14:textId="12382160"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Chapter 1, Section E.2</w:t>
            </w:r>
          </w:p>
        </w:tc>
        <w:tc>
          <w:tcPr>
            <w:tcW w:w="3565" w:type="dxa"/>
          </w:tcPr>
          <w:p w14:paraId="5B21F729" w14:textId="73E528AC"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 xml:space="preserve">Examination Failure </w:t>
            </w:r>
          </w:p>
        </w:tc>
        <w:tc>
          <w:tcPr>
            <w:tcW w:w="3905" w:type="dxa"/>
          </w:tcPr>
          <w:p w14:paraId="2F21F7F1" w14:textId="0460A859" w:rsidR="0055024C" w:rsidRPr="00DD548B" w:rsidRDefault="0055024C" w:rsidP="0055024C">
            <w:pPr>
              <w:rPr>
                <w:rFonts w:ascii="Times New Roman" w:hAnsi="Times New Roman" w:cs="Times New Roman"/>
                <w:sz w:val="24"/>
                <w:szCs w:val="24"/>
              </w:rPr>
            </w:pPr>
          </w:p>
        </w:tc>
        <w:tc>
          <w:tcPr>
            <w:tcW w:w="4195" w:type="dxa"/>
          </w:tcPr>
          <w:p w14:paraId="4531A0A2" w14:textId="29DC5DD4"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No Change—Just added exam policy from different sections of handbook to Chapter 1 for clarification</w:t>
            </w:r>
          </w:p>
        </w:tc>
      </w:tr>
      <w:tr w:rsidR="0055024C" w:rsidRPr="003E3BEC" w14:paraId="62F9B2CD" w14:textId="77777777" w:rsidTr="006A5C7C">
        <w:tc>
          <w:tcPr>
            <w:tcW w:w="2317" w:type="dxa"/>
          </w:tcPr>
          <w:p w14:paraId="458015D0" w14:textId="4C3ABEE4"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Chapter 2, Section B.3</w:t>
            </w:r>
          </w:p>
        </w:tc>
        <w:tc>
          <w:tcPr>
            <w:tcW w:w="3565" w:type="dxa"/>
          </w:tcPr>
          <w:p w14:paraId="5DD1A61A" w14:textId="50B5F6CA" w:rsidR="0055024C" w:rsidRPr="00DD548B" w:rsidRDefault="0055024C" w:rsidP="002045A1">
            <w:pPr>
              <w:rPr>
                <w:rFonts w:ascii="Times New Roman" w:hAnsi="Times New Roman" w:cs="Times New Roman"/>
                <w:sz w:val="24"/>
                <w:szCs w:val="24"/>
              </w:rPr>
            </w:pPr>
            <w:r>
              <w:rPr>
                <w:rFonts w:ascii="Times New Roman" w:hAnsi="Times New Roman" w:cs="Times New Roman"/>
                <w:sz w:val="24"/>
                <w:szCs w:val="24"/>
              </w:rPr>
              <w:t xml:space="preserve">Non-Degree Graduate </w:t>
            </w:r>
            <w:r w:rsidR="002045A1">
              <w:rPr>
                <w:rFonts w:ascii="Times New Roman" w:hAnsi="Times New Roman" w:cs="Times New Roman"/>
                <w:sz w:val="24"/>
                <w:szCs w:val="24"/>
              </w:rPr>
              <w:t>Status</w:t>
            </w:r>
          </w:p>
        </w:tc>
        <w:tc>
          <w:tcPr>
            <w:tcW w:w="3905" w:type="dxa"/>
          </w:tcPr>
          <w:p w14:paraId="4EDE0F9B" w14:textId="0B2710B0" w:rsidR="0055024C" w:rsidRPr="00DD548B" w:rsidRDefault="0055024C" w:rsidP="0055024C">
            <w:pPr>
              <w:rPr>
                <w:rFonts w:ascii="Times New Roman" w:hAnsi="Times New Roman" w:cs="Times New Roman"/>
                <w:sz w:val="24"/>
                <w:szCs w:val="24"/>
              </w:rPr>
            </w:pPr>
          </w:p>
        </w:tc>
        <w:tc>
          <w:tcPr>
            <w:tcW w:w="4195" w:type="dxa"/>
          </w:tcPr>
          <w:p w14:paraId="3809972F" w14:textId="452C5D1F" w:rsidR="0055024C" w:rsidRPr="00DD548B" w:rsidRDefault="0055024C" w:rsidP="002045A1">
            <w:pPr>
              <w:rPr>
                <w:rFonts w:ascii="Times New Roman" w:hAnsi="Times New Roman" w:cs="Times New Roman"/>
                <w:sz w:val="24"/>
                <w:szCs w:val="24"/>
              </w:rPr>
            </w:pPr>
            <w:r>
              <w:rPr>
                <w:rFonts w:ascii="Times New Roman" w:hAnsi="Times New Roman" w:cs="Times New Roman"/>
                <w:sz w:val="24"/>
                <w:szCs w:val="24"/>
              </w:rPr>
              <w:t xml:space="preserve">No Change—Just added policy </w:t>
            </w:r>
            <w:r w:rsidR="002045A1">
              <w:rPr>
                <w:rFonts w:ascii="Times New Roman" w:hAnsi="Times New Roman" w:cs="Times New Roman"/>
                <w:sz w:val="24"/>
                <w:szCs w:val="24"/>
              </w:rPr>
              <w:t xml:space="preserve">language </w:t>
            </w:r>
            <w:r>
              <w:rPr>
                <w:rFonts w:ascii="Times New Roman" w:hAnsi="Times New Roman" w:cs="Times New Roman"/>
                <w:sz w:val="24"/>
                <w:szCs w:val="24"/>
              </w:rPr>
              <w:t xml:space="preserve">from Ch. 4 to Ch. 2 for clarification.  </w:t>
            </w:r>
            <w:r w:rsidR="002045A1">
              <w:rPr>
                <w:rFonts w:ascii="Times New Roman" w:hAnsi="Times New Roman" w:cs="Times New Roman"/>
                <w:sz w:val="24"/>
                <w:szCs w:val="24"/>
              </w:rPr>
              <w:t>Policy:  O</w:t>
            </w:r>
            <w:r>
              <w:rPr>
                <w:rFonts w:ascii="Times New Roman" w:hAnsi="Times New Roman" w:cs="Times New Roman"/>
                <w:sz w:val="24"/>
                <w:szCs w:val="24"/>
              </w:rPr>
              <w:t>nly credits earned in non-degree status with a grade of B or higher and which are allowable on a program of study may be used to meet degree requirements.</w:t>
            </w:r>
          </w:p>
        </w:tc>
      </w:tr>
      <w:tr w:rsidR="0055024C" w:rsidRPr="003E3BEC" w14:paraId="158D94D6" w14:textId="77777777" w:rsidTr="006A5C7C">
        <w:tc>
          <w:tcPr>
            <w:tcW w:w="2317" w:type="dxa"/>
          </w:tcPr>
          <w:p w14:paraId="4FF9694D" w14:textId="41F0C06F"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Chapter 3, Section E.4</w:t>
            </w:r>
          </w:p>
        </w:tc>
        <w:tc>
          <w:tcPr>
            <w:tcW w:w="3565" w:type="dxa"/>
          </w:tcPr>
          <w:p w14:paraId="2E499780" w14:textId="51FD58BC" w:rsidR="0055024C" w:rsidRPr="00DD548B" w:rsidRDefault="002045A1" w:rsidP="0055024C">
            <w:pPr>
              <w:rPr>
                <w:rFonts w:ascii="Times New Roman" w:hAnsi="Times New Roman" w:cs="Times New Roman"/>
                <w:sz w:val="24"/>
                <w:szCs w:val="24"/>
              </w:rPr>
            </w:pPr>
            <w:r>
              <w:rPr>
                <w:rFonts w:ascii="Times New Roman" w:hAnsi="Times New Roman" w:cs="Times New Roman"/>
                <w:sz w:val="24"/>
                <w:szCs w:val="24"/>
              </w:rPr>
              <w:t>New Professional Policy credits</w:t>
            </w:r>
          </w:p>
        </w:tc>
        <w:tc>
          <w:tcPr>
            <w:tcW w:w="3905" w:type="dxa"/>
          </w:tcPr>
          <w:p w14:paraId="08AB9AC3" w14:textId="24654E25" w:rsidR="0055024C" w:rsidRPr="00DD548B" w:rsidRDefault="0055024C" w:rsidP="0055024C">
            <w:pPr>
              <w:rPr>
                <w:rFonts w:ascii="Times New Roman" w:hAnsi="Times New Roman" w:cs="Times New Roman"/>
                <w:sz w:val="24"/>
                <w:szCs w:val="24"/>
              </w:rPr>
            </w:pPr>
          </w:p>
        </w:tc>
        <w:tc>
          <w:tcPr>
            <w:tcW w:w="4195" w:type="dxa"/>
          </w:tcPr>
          <w:p w14:paraId="3A5CCF68" w14:textId="482533A9" w:rsidR="0055024C" w:rsidRPr="00DD548B" w:rsidRDefault="004A3EC6" w:rsidP="0055024C">
            <w:pPr>
              <w:rPr>
                <w:rFonts w:ascii="Times New Roman" w:hAnsi="Times New Roman" w:cs="Times New Roman"/>
                <w:sz w:val="24"/>
                <w:szCs w:val="24"/>
              </w:rPr>
            </w:pPr>
            <w:r>
              <w:rPr>
                <w:rFonts w:ascii="Times New Roman" w:hAnsi="Times New Roman" w:cs="Times New Roman"/>
                <w:sz w:val="24"/>
                <w:szCs w:val="24"/>
              </w:rPr>
              <w:t xml:space="preserve">Newly approved professional policy (701 credit) added to this section. </w:t>
            </w:r>
            <w:r w:rsidR="0055024C">
              <w:rPr>
                <w:rFonts w:ascii="Times New Roman" w:hAnsi="Times New Roman" w:cs="Times New Roman"/>
                <w:sz w:val="24"/>
                <w:szCs w:val="24"/>
              </w:rPr>
              <w:t>Policy was approved by Faculty Senate in Fall 2015</w:t>
            </w:r>
          </w:p>
        </w:tc>
      </w:tr>
      <w:tr w:rsidR="0055024C" w:rsidRPr="003E3BEC" w14:paraId="49475EDB" w14:textId="77777777" w:rsidTr="006A5C7C">
        <w:tc>
          <w:tcPr>
            <w:tcW w:w="2317" w:type="dxa"/>
          </w:tcPr>
          <w:p w14:paraId="0F86FEF9" w14:textId="0CCC9F2E"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Chapter 4, Section C</w:t>
            </w:r>
            <w:r w:rsidRPr="00DD548B">
              <w:rPr>
                <w:rFonts w:ascii="Times New Roman" w:hAnsi="Times New Roman" w:cs="Times New Roman"/>
                <w:sz w:val="24"/>
                <w:szCs w:val="24"/>
              </w:rPr>
              <w:t>.7</w:t>
            </w:r>
          </w:p>
        </w:tc>
        <w:tc>
          <w:tcPr>
            <w:tcW w:w="3565" w:type="dxa"/>
          </w:tcPr>
          <w:p w14:paraId="48F05F36" w14:textId="21034EFA"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Admission for Non-Degree-Seeking Students</w:t>
            </w:r>
          </w:p>
        </w:tc>
        <w:tc>
          <w:tcPr>
            <w:tcW w:w="3905" w:type="dxa"/>
          </w:tcPr>
          <w:p w14:paraId="488182C4" w14:textId="21A29207" w:rsidR="0055024C" w:rsidRPr="00DD548B" w:rsidRDefault="0055024C" w:rsidP="0055024C">
            <w:pPr>
              <w:pStyle w:val="Pa48"/>
              <w:rPr>
                <w:rFonts w:ascii="Times New Roman" w:hAnsi="Times New Roman"/>
              </w:rPr>
            </w:pPr>
          </w:p>
        </w:tc>
        <w:tc>
          <w:tcPr>
            <w:tcW w:w="4195" w:type="dxa"/>
          </w:tcPr>
          <w:p w14:paraId="2B82857A" w14:textId="64F12546" w:rsidR="0055024C" w:rsidRPr="00DD548B" w:rsidRDefault="0055024C" w:rsidP="002045A1">
            <w:pPr>
              <w:rPr>
                <w:rFonts w:ascii="Times New Roman" w:hAnsi="Times New Roman" w:cs="Times New Roman"/>
                <w:sz w:val="24"/>
                <w:szCs w:val="24"/>
              </w:rPr>
            </w:pPr>
            <w:r>
              <w:rPr>
                <w:rFonts w:ascii="Times New Roman" w:hAnsi="Times New Roman"/>
              </w:rPr>
              <w:t xml:space="preserve">No Change—Clarification that coursework taken as a non-degree student </w:t>
            </w:r>
            <w:r w:rsidR="002045A1">
              <w:rPr>
                <w:rFonts w:ascii="Times New Roman" w:hAnsi="Times New Roman"/>
              </w:rPr>
              <w:t>appears</w:t>
            </w:r>
            <w:r>
              <w:rPr>
                <w:rFonts w:ascii="Times New Roman" w:hAnsi="Times New Roman"/>
              </w:rPr>
              <w:t xml:space="preserve"> on the official graduate transcript and grades earned </w:t>
            </w:r>
            <w:r w:rsidR="002045A1">
              <w:rPr>
                <w:rFonts w:ascii="Times New Roman" w:hAnsi="Times New Roman"/>
              </w:rPr>
              <w:t xml:space="preserve">are </w:t>
            </w:r>
            <w:r>
              <w:rPr>
                <w:rFonts w:ascii="Times New Roman" w:hAnsi="Times New Roman"/>
              </w:rPr>
              <w:t>calculated in the official graduate GPA</w:t>
            </w:r>
          </w:p>
        </w:tc>
      </w:tr>
      <w:tr w:rsidR="0055024C" w:rsidRPr="003E3BEC" w14:paraId="5BD021C1" w14:textId="77777777" w:rsidTr="006A5C7C">
        <w:tc>
          <w:tcPr>
            <w:tcW w:w="2317" w:type="dxa"/>
          </w:tcPr>
          <w:p w14:paraId="68ECA427" w14:textId="4A320392"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Chapter 4, Section E.1</w:t>
            </w:r>
            <w:r w:rsidRPr="00DD548B">
              <w:rPr>
                <w:rFonts w:ascii="Times New Roman" w:hAnsi="Times New Roman" w:cs="Times New Roman"/>
                <w:sz w:val="24"/>
                <w:szCs w:val="24"/>
              </w:rPr>
              <w:t xml:space="preserve"> </w:t>
            </w:r>
          </w:p>
        </w:tc>
        <w:tc>
          <w:tcPr>
            <w:tcW w:w="3565" w:type="dxa"/>
          </w:tcPr>
          <w:p w14:paraId="596248D0" w14:textId="7BBFD219"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Reservation of undergraduate credit for seniors</w:t>
            </w:r>
          </w:p>
        </w:tc>
        <w:tc>
          <w:tcPr>
            <w:tcW w:w="3905" w:type="dxa"/>
          </w:tcPr>
          <w:p w14:paraId="2A904096" w14:textId="333D1B95" w:rsidR="0055024C" w:rsidRPr="00DD548B" w:rsidRDefault="0055024C" w:rsidP="0055024C">
            <w:pPr>
              <w:pStyle w:val="Pa48"/>
              <w:rPr>
                <w:rFonts w:ascii="Times New Roman" w:hAnsi="Times New Roman"/>
              </w:rPr>
            </w:pPr>
          </w:p>
        </w:tc>
        <w:tc>
          <w:tcPr>
            <w:tcW w:w="4195" w:type="dxa"/>
          </w:tcPr>
          <w:p w14:paraId="7B0A78FB" w14:textId="532A96CD" w:rsidR="0055024C" w:rsidRPr="00DD548B" w:rsidRDefault="0055024C" w:rsidP="0055024C">
            <w:pPr>
              <w:rPr>
                <w:rFonts w:ascii="Times New Roman" w:hAnsi="Times New Roman" w:cs="Times New Roman"/>
                <w:sz w:val="24"/>
                <w:szCs w:val="24"/>
              </w:rPr>
            </w:pPr>
            <w:r>
              <w:rPr>
                <w:rFonts w:ascii="Times New Roman" w:hAnsi="Times New Roman"/>
              </w:rPr>
              <w:t>No Change—Clarification that only reserved coursework with a grade of B or better can be transferred to the graduate transcript and used toward a graduate program</w:t>
            </w:r>
          </w:p>
        </w:tc>
      </w:tr>
      <w:tr w:rsidR="0055024C" w:rsidRPr="003E3BEC" w14:paraId="36A65742" w14:textId="77777777" w:rsidTr="006A5C7C">
        <w:tc>
          <w:tcPr>
            <w:tcW w:w="2317" w:type="dxa"/>
          </w:tcPr>
          <w:p w14:paraId="4A1DE0A0" w14:textId="16A6FF68" w:rsidR="0055024C" w:rsidRPr="00DD548B" w:rsidRDefault="0055024C" w:rsidP="0055024C">
            <w:pPr>
              <w:rPr>
                <w:rFonts w:ascii="Times New Roman" w:hAnsi="Times New Roman" w:cs="Times New Roman"/>
                <w:sz w:val="24"/>
                <w:szCs w:val="24"/>
              </w:rPr>
            </w:pPr>
            <w:r>
              <w:rPr>
                <w:rFonts w:ascii="Times New Roman" w:hAnsi="Times New Roman" w:cs="Times New Roman"/>
                <w:sz w:val="24"/>
                <w:szCs w:val="24"/>
              </w:rPr>
              <w:t>Chapter 5</w:t>
            </w:r>
            <w:r w:rsidRPr="00DD548B">
              <w:rPr>
                <w:rFonts w:ascii="Times New Roman" w:hAnsi="Times New Roman" w:cs="Times New Roman"/>
                <w:sz w:val="24"/>
                <w:szCs w:val="24"/>
              </w:rPr>
              <w:t xml:space="preserve">, Section </w:t>
            </w:r>
            <w:r>
              <w:rPr>
                <w:rFonts w:ascii="Times New Roman" w:hAnsi="Times New Roman" w:cs="Times New Roman"/>
                <w:sz w:val="24"/>
                <w:szCs w:val="24"/>
              </w:rPr>
              <w:t>A.2.a.viii</w:t>
            </w:r>
          </w:p>
        </w:tc>
        <w:tc>
          <w:tcPr>
            <w:tcW w:w="3565" w:type="dxa"/>
          </w:tcPr>
          <w:p w14:paraId="773F3D1A" w14:textId="1413977A" w:rsidR="0055024C" w:rsidRPr="00DD548B" w:rsidRDefault="008076BD" w:rsidP="0055024C">
            <w:pPr>
              <w:rPr>
                <w:rFonts w:ascii="Times New Roman" w:hAnsi="Times New Roman" w:cs="Times New Roman"/>
                <w:sz w:val="24"/>
                <w:szCs w:val="24"/>
              </w:rPr>
            </w:pPr>
            <w:r>
              <w:rPr>
                <w:rFonts w:ascii="Times New Roman" w:hAnsi="Times New Roman" w:cs="Times New Roman"/>
                <w:sz w:val="24"/>
                <w:szCs w:val="24"/>
              </w:rPr>
              <w:t>CDS—Students who need an extension could extend CDS for the entire time of the extension</w:t>
            </w:r>
          </w:p>
        </w:tc>
        <w:tc>
          <w:tcPr>
            <w:tcW w:w="3905" w:type="dxa"/>
          </w:tcPr>
          <w:p w14:paraId="29DD197E" w14:textId="69EB8631" w:rsidR="008076BD" w:rsidRPr="008076BD" w:rsidRDefault="008076BD" w:rsidP="008076BD">
            <w:pPr>
              <w:shd w:val="clear" w:color="auto" w:fill="FFFFFF"/>
              <w:outlineLvl w:val="2"/>
              <w:rPr>
                <w:iCs/>
              </w:rPr>
            </w:pPr>
            <w:r w:rsidRPr="002045A1">
              <w:rPr>
                <w:rFonts w:ascii="Times New Roman" w:hAnsi="Times New Roman" w:cs="Times New Roman"/>
                <w:b/>
                <w:sz w:val="24"/>
                <w:szCs w:val="24"/>
              </w:rPr>
              <w:t>New Policy</w:t>
            </w:r>
            <w:r w:rsidRPr="008076BD">
              <w:rPr>
                <w:rFonts w:ascii="Times New Roman" w:hAnsi="Times New Roman" w:cs="Times New Roman"/>
                <w:sz w:val="24"/>
                <w:szCs w:val="24"/>
              </w:rPr>
              <w:t>--</w:t>
            </w:r>
            <w:r w:rsidRPr="008076BD">
              <w:t xml:space="preserve"> Students who have an approved extension must enroll in a minimum of 2 research credits during one semester of their first extension. Students must be continuously enrolled in a minimum of 2 research credits during</w:t>
            </w:r>
            <w:r>
              <w:t xml:space="preserve"> Fall and Spring semesters of their second or third extensions (unless they complete their degree before the extension expires). </w:t>
            </w:r>
          </w:p>
          <w:p w14:paraId="2227BF88" w14:textId="77777777" w:rsidR="008076BD" w:rsidRPr="00A952D9" w:rsidRDefault="008076BD" w:rsidP="008076BD">
            <w:pPr>
              <w:rPr>
                <w:iCs/>
              </w:rPr>
            </w:pPr>
            <w:r>
              <w:rPr>
                <w:iCs/>
              </w:rPr>
              <w:lastRenderedPageBreak/>
              <w:t>Students who are not in compliance with the CDS policy may be dropped from their program.</w:t>
            </w:r>
          </w:p>
          <w:p w14:paraId="05F5702A" w14:textId="328816BD" w:rsidR="0055024C" w:rsidRPr="00DD548B" w:rsidRDefault="0055024C" w:rsidP="0055024C">
            <w:pPr>
              <w:rPr>
                <w:rFonts w:ascii="Times New Roman" w:hAnsi="Times New Roman" w:cs="Times New Roman"/>
                <w:sz w:val="24"/>
                <w:szCs w:val="24"/>
              </w:rPr>
            </w:pPr>
          </w:p>
        </w:tc>
        <w:tc>
          <w:tcPr>
            <w:tcW w:w="4195" w:type="dxa"/>
          </w:tcPr>
          <w:p w14:paraId="33DCBF5E" w14:textId="7DDF6811" w:rsidR="0055024C" w:rsidRPr="00DD548B" w:rsidRDefault="008076BD" w:rsidP="004B117E">
            <w:pPr>
              <w:rPr>
                <w:rFonts w:ascii="Times New Roman" w:hAnsi="Times New Roman" w:cs="Times New Roman"/>
                <w:sz w:val="24"/>
                <w:szCs w:val="24"/>
              </w:rPr>
            </w:pPr>
            <w:r>
              <w:rPr>
                <w:rFonts w:ascii="Times New Roman" w:hAnsi="Times New Roman" w:cs="Times New Roman"/>
                <w:sz w:val="24"/>
                <w:szCs w:val="24"/>
              </w:rPr>
              <w:lastRenderedPageBreak/>
              <w:t xml:space="preserve">We have found that students who need extension(s) and who are not enrolled </w:t>
            </w:r>
            <w:r w:rsidR="002045A1">
              <w:rPr>
                <w:rFonts w:ascii="Times New Roman" w:hAnsi="Times New Roman" w:cs="Times New Roman"/>
                <w:sz w:val="24"/>
                <w:szCs w:val="24"/>
              </w:rPr>
              <w:t>often do not connect</w:t>
            </w:r>
            <w:r>
              <w:rPr>
                <w:rFonts w:ascii="Times New Roman" w:hAnsi="Times New Roman" w:cs="Times New Roman"/>
                <w:sz w:val="24"/>
                <w:szCs w:val="24"/>
              </w:rPr>
              <w:t xml:space="preserve"> with their committees; it is important to ensure that the student is committed to completing the degree and should be required to enroll to work with their faculty committee to finish.</w:t>
            </w:r>
            <w:r w:rsidR="004B117E">
              <w:rPr>
                <w:rFonts w:ascii="Times New Roman" w:hAnsi="Times New Roman" w:cs="Times New Roman"/>
                <w:sz w:val="24"/>
                <w:szCs w:val="24"/>
              </w:rPr>
              <w:t xml:space="preserve">  Enrollment also allows faculty to officially evaluate the </w:t>
            </w:r>
            <w:r w:rsidR="004B117E">
              <w:rPr>
                <w:rFonts w:ascii="Times New Roman" w:hAnsi="Times New Roman" w:cs="Times New Roman"/>
                <w:sz w:val="24"/>
                <w:szCs w:val="24"/>
              </w:rPr>
              <w:lastRenderedPageBreak/>
              <w:t>progress of the student with an S/U grade.</w:t>
            </w:r>
            <w:bookmarkStart w:id="0" w:name="_GoBack"/>
            <w:bookmarkEnd w:id="0"/>
          </w:p>
        </w:tc>
      </w:tr>
      <w:tr w:rsidR="0055024C" w:rsidRPr="003E3BEC" w14:paraId="4AF32B56" w14:textId="77777777" w:rsidTr="006A5C7C">
        <w:tc>
          <w:tcPr>
            <w:tcW w:w="2317" w:type="dxa"/>
          </w:tcPr>
          <w:p w14:paraId="6A6ECD9E" w14:textId="1472C16A" w:rsidR="0055024C" w:rsidRPr="00DD548B" w:rsidRDefault="008076BD" w:rsidP="0055024C">
            <w:pPr>
              <w:rPr>
                <w:rFonts w:ascii="Times New Roman" w:hAnsi="Times New Roman" w:cs="Times New Roman"/>
                <w:sz w:val="24"/>
                <w:szCs w:val="24"/>
              </w:rPr>
            </w:pPr>
            <w:r>
              <w:rPr>
                <w:rFonts w:ascii="Times New Roman" w:hAnsi="Times New Roman" w:cs="Times New Roman"/>
                <w:sz w:val="24"/>
                <w:szCs w:val="24"/>
              </w:rPr>
              <w:lastRenderedPageBreak/>
              <w:t>Chapter 6, Section F. 1-3</w:t>
            </w:r>
          </w:p>
        </w:tc>
        <w:tc>
          <w:tcPr>
            <w:tcW w:w="3565" w:type="dxa"/>
          </w:tcPr>
          <w:p w14:paraId="37D31465" w14:textId="5935E78B" w:rsidR="0055024C" w:rsidRPr="00DD548B" w:rsidRDefault="008076BD" w:rsidP="0055024C">
            <w:pPr>
              <w:rPr>
                <w:rFonts w:ascii="Times New Roman" w:hAnsi="Times New Roman" w:cs="Times New Roman"/>
                <w:sz w:val="24"/>
                <w:szCs w:val="24"/>
              </w:rPr>
            </w:pPr>
            <w:r>
              <w:rPr>
                <w:rFonts w:ascii="Times New Roman" w:hAnsi="Times New Roman" w:cs="Times New Roman"/>
                <w:sz w:val="24"/>
                <w:szCs w:val="24"/>
              </w:rPr>
              <w:t>Extensions of Time to Degree—PhD students (usually on CDS) were not required to be enrolled during an extension</w:t>
            </w:r>
          </w:p>
        </w:tc>
        <w:tc>
          <w:tcPr>
            <w:tcW w:w="3905" w:type="dxa"/>
          </w:tcPr>
          <w:p w14:paraId="37C2330B" w14:textId="21861EF9" w:rsidR="0055024C" w:rsidRPr="00843868" w:rsidRDefault="008076BD" w:rsidP="008076BD">
            <w:r w:rsidRPr="002045A1">
              <w:rPr>
                <w:b/>
              </w:rPr>
              <w:t xml:space="preserve">New Policy language added to sections E1, E2, </w:t>
            </w:r>
            <w:proofErr w:type="gramStart"/>
            <w:r w:rsidRPr="002045A1">
              <w:rPr>
                <w:b/>
              </w:rPr>
              <w:t>E3</w:t>
            </w:r>
            <w:proofErr w:type="gramEnd"/>
            <w:r w:rsidRPr="002045A1">
              <w:rPr>
                <w:b/>
              </w:rPr>
              <w:t>:</w:t>
            </w:r>
            <w:r w:rsidR="002045A1">
              <w:rPr>
                <w:b/>
              </w:rPr>
              <w:t xml:space="preserve">  </w:t>
            </w:r>
            <w:r w:rsidRPr="002045A1">
              <w:rPr>
                <w:b/>
              </w:rPr>
              <w:t xml:space="preserve"> </w:t>
            </w:r>
            <w:r w:rsidRPr="00F27F9D">
              <w:rPr>
                <w:b/>
              </w:rPr>
              <w:t xml:space="preserve">NOTE:  </w:t>
            </w:r>
            <w:r w:rsidRPr="005546EF">
              <w:t>Students must be enrolled for a minimum of two research credits during either the fall or the spring semester of a First Extension (enrollment is required in the semester of degree completion).</w:t>
            </w:r>
            <w:r>
              <w:t xml:space="preserve">  </w:t>
            </w:r>
            <w:r w:rsidRPr="006349BC">
              <w:rPr>
                <w:b/>
              </w:rPr>
              <w:t xml:space="preserve">NOTE:  </w:t>
            </w:r>
            <w:r w:rsidRPr="00A90D26">
              <w:t>Students must be enrolled for a minimum of two research credits during both the fall and the spring semesters of a Second Extension or until degree completion.</w:t>
            </w:r>
            <w:r>
              <w:t xml:space="preserve">  </w:t>
            </w:r>
            <w:r w:rsidRPr="006349BC">
              <w:rPr>
                <w:b/>
              </w:rPr>
              <w:t xml:space="preserve">NOTE:  </w:t>
            </w:r>
            <w:r w:rsidRPr="005546EF">
              <w:t>Students must be enrolled for a minimum of two research credits during both the fall and the spring semesters of a Third Extension or until degree completion</w:t>
            </w:r>
            <w:r>
              <w:t>.</w:t>
            </w:r>
          </w:p>
        </w:tc>
        <w:tc>
          <w:tcPr>
            <w:tcW w:w="4195" w:type="dxa"/>
          </w:tcPr>
          <w:p w14:paraId="302D0A5C" w14:textId="3A3C129B" w:rsidR="0055024C" w:rsidRPr="00DD548B" w:rsidRDefault="005E7A1B" w:rsidP="0055024C">
            <w:pPr>
              <w:rPr>
                <w:rFonts w:ascii="Times New Roman" w:hAnsi="Times New Roman" w:cs="Times New Roman"/>
                <w:sz w:val="24"/>
                <w:szCs w:val="24"/>
              </w:rPr>
            </w:pPr>
            <w:r>
              <w:rPr>
                <w:rFonts w:ascii="Times New Roman" w:hAnsi="Times New Roman" w:cs="Times New Roman"/>
                <w:sz w:val="24"/>
                <w:szCs w:val="24"/>
              </w:rPr>
              <w:t>New policy is designed to encourage students to work closely with their committee to complete their degree in a timely manner.</w:t>
            </w:r>
          </w:p>
        </w:tc>
      </w:tr>
      <w:tr w:rsidR="0055024C" w:rsidRPr="00CB38D9" w14:paraId="7BED0B11" w14:textId="77777777" w:rsidTr="006A5C7C">
        <w:tc>
          <w:tcPr>
            <w:tcW w:w="2317" w:type="dxa"/>
          </w:tcPr>
          <w:p w14:paraId="4CCCFD79" w14:textId="521B6F2B" w:rsidR="0055024C" w:rsidRPr="00DD548B" w:rsidRDefault="005E7A1B" w:rsidP="0055024C">
            <w:pPr>
              <w:rPr>
                <w:rFonts w:ascii="Times New Roman" w:hAnsi="Times New Roman" w:cs="Times New Roman"/>
                <w:sz w:val="24"/>
                <w:szCs w:val="24"/>
              </w:rPr>
            </w:pPr>
            <w:r>
              <w:rPr>
                <w:rFonts w:ascii="Times New Roman" w:hAnsi="Times New Roman" w:cs="Times New Roman"/>
                <w:sz w:val="24"/>
                <w:szCs w:val="24"/>
              </w:rPr>
              <w:t>Chapter 6, Section G.2.e</w:t>
            </w:r>
          </w:p>
        </w:tc>
        <w:tc>
          <w:tcPr>
            <w:tcW w:w="3565" w:type="dxa"/>
          </w:tcPr>
          <w:p w14:paraId="6F24F368" w14:textId="3B4CD1C4" w:rsidR="0055024C" w:rsidRPr="00DD548B" w:rsidRDefault="005E7A1B" w:rsidP="0055024C">
            <w:pPr>
              <w:rPr>
                <w:rFonts w:ascii="Times New Roman" w:hAnsi="Times New Roman" w:cs="Times New Roman"/>
                <w:sz w:val="24"/>
                <w:szCs w:val="24"/>
              </w:rPr>
            </w:pPr>
            <w:r>
              <w:rPr>
                <w:rFonts w:ascii="Times New Roman" w:hAnsi="Times New Roman" w:cs="Times New Roman"/>
                <w:sz w:val="24"/>
                <w:szCs w:val="24"/>
              </w:rPr>
              <w:t xml:space="preserve">Program of Study—Transfer policy </w:t>
            </w:r>
          </w:p>
        </w:tc>
        <w:tc>
          <w:tcPr>
            <w:tcW w:w="3905" w:type="dxa"/>
          </w:tcPr>
          <w:p w14:paraId="5E7EB39E" w14:textId="292DE907" w:rsidR="005A5AE1" w:rsidRPr="009B1FDE" w:rsidRDefault="005A5AE1" w:rsidP="005A5AE1">
            <w:pPr>
              <w:shd w:val="clear" w:color="auto" w:fill="FFFFFF"/>
              <w:outlineLvl w:val="2"/>
            </w:pPr>
            <w:r w:rsidRPr="002045A1">
              <w:rPr>
                <w:b/>
              </w:rPr>
              <w:t>N</w:t>
            </w:r>
            <w:r w:rsidR="002045A1" w:rsidRPr="002045A1">
              <w:rPr>
                <w:b/>
              </w:rPr>
              <w:t>ew Policy</w:t>
            </w:r>
            <w:r w:rsidRPr="002045A1">
              <w:rPr>
                <w:b/>
              </w:rPr>
              <w:t>:</w:t>
            </w:r>
            <w:r>
              <w:t xml:space="preserve">  Graded, graduate-level special topics courses from an accredited university may be transferable with committee, program and Graduate School approval.  A syllabus for the special topics course must be submitted with the transfer request (program of study) so that a determination can be made. </w:t>
            </w:r>
          </w:p>
          <w:p w14:paraId="230ED12F" w14:textId="77777777" w:rsidR="006A5C7C" w:rsidRDefault="006A5C7C" w:rsidP="005A5AE1">
            <w:pPr>
              <w:tabs>
                <w:tab w:val="left" w:pos="270"/>
              </w:tabs>
              <w:autoSpaceDE w:val="0"/>
              <w:autoSpaceDN w:val="0"/>
              <w:adjustRightInd w:val="0"/>
            </w:pPr>
          </w:p>
          <w:p w14:paraId="0F8C653B" w14:textId="7BED1586" w:rsidR="005A5AE1" w:rsidRDefault="002045A1" w:rsidP="005A5AE1">
            <w:pPr>
              <w:tabs>
                <w:tab w:val="left" w:pos="270"/>
              </w:tabs>
              <w:autoSpaceDE w:val="0"/>
              <w:autoSpaceDN w:val="0"/>
              <w:adjustRightInd w:val="0"/>
            </w:pPr>
            <w:r w:rsidRPr="002045A1">
              <w:rPr>
                <w:b/>
              </w:rPr>
              <w:t>Clarification:</w:t>
            </w:r>
            <w:r>
              <w:t xml:space="preserve">  </w:t>
            </w:r>
            <w:r w:rsidR="005A5AE1" w:rsidRPr="005A5AE1">
              <w:t xml:space="preserve">Seminar courses (usually defined as a course with a series of seminar speakers), </w:t>
            </w:r>
            <w:r w:rsidR="005A5AE1">
              <w:t>e</w:t>
            </w:r>
            <w:r w:rsidR="005A5AE1" w:rsidRPr="009B1FDE">
              <w:t>xtension courses, continuing education courses, special problems</w:t>
            </w:r>
            <w:r w:rsidR="005A5AE1">
              <w:t xml:space="preserve"> courses</w:t>
            </w:r>
            <w:r w:rsidR="005A5AE1" w:rsidRPr="009B1FDE">
              <w:t>, thesis</w:t>
            </w:r>
            <w:r w:rsidR="005A5AE1">
              <w:t xml:space="preserve"> courses </w:t>
            </w:r>
            <w:r w:rsidR="005A5AE1">
              <w:lastRenderedPageBreak/>
              <w:t>(research credits)</w:t>
            </w:r>
            <w:r w:rsidR="005A5AE1" w:rsidRPr="009B1FDE">
              <w:t xml:space="preserve">, workshops, and correspondence courses </w:t>
            </w:r>
            <w:r w:rsidR="005A5AE1">
              <w:t xml:space="preserve">will </w:t>
            </w:r>
            <w:r w:rsidR="005A5AE1" w:rsidRPr="009B1FDE">
              <w:t>not receive graduate transfer credit.</w:t>
            </w:r>
          </w:p>
          <w:p w14:paraId="779ABE8F" w14:textId="0A2CBBCA" w:rsidR="005A5AE1" w:rsidRPr="008B1979" w:rsidRDefault="005A5AE1" w:rsidP="0055024C">
            <w:pPr>
              <w:tabs>
                <w:tab w:val="left" w:pos="270"/>
              </w:tabs>
              <w:autoSpaceDE w:val="0"/>
              <w:autoSpaceDN w:val="0"/>
              <w:adjustRightInd w:val="0"/>
              <w:rPr>
                <w:rFonts w:ascii="Times New Roman" w:hAnsi="Times New Roman" w:cs="Times New Roman"/>
                <w:sz w:val="24"/>
                <w:szCs w:val="24"/>
              </w:rPr>
            </w:pPr>
          </w:p>
        </w:tc>
        <w:tc>
          <w:tcPr>
            <w:tcW w:w="4195" w:type="dxa"/>
          </w:tcPr>
          <w:p w14:paraId="515FBC8D" w14:textId="77777777" w:rsidR="002045A1" w:rsidRDefault="005A5AE1" w:rsidP="0055024C">
            <w:pPr>
              <w:rPr>
                <w:rFonts w:ascii="Times New Roman" w:hAnsi="Times New Roman" w:cs="Times New Roman"/>
                <w:sz w:val="24"/>
                <w:szCs w:val="24"/>
              </w:rPr>
            </w:pPr>
            <w:r w:rsidRPr="007936E2">
              <w:rPr>
                <w:rFonts w:ascii="Times New Roman" w:hAnsi="Times New Roman" w:cs="Times New Roman"/>
                <w:sz w:val="24"/>
                <w:szCs w:val="24"/>
              </w:rPr>
              <w:lastRenderedPageBreak/>
              <w:t>Special topics courses were</w:t>
            </w:r>
            <w:r>
              <w:rPr>
                <w:rFonts w:ascii="Times New Roman" w:hAnsi="Times New Roman" w:cs="Times New Roman"/>
                <w:sz w:val="24"/>
                <w:szCs w:val="24"/>
              </w:rPr>
              <w:t xml:space="preserve"> not accepted for transfer, but now may be under the conditions of th</w:t>
            </w:r>
            <w:r w:rsidR="006A5C7C">
              <w:rPr>
                <w:rFonts w:ascii="Times New Roman" w:hAnsi="Times New Roman" w:cs="Times New Roman"/>
                <w:sz w:val="24"/>
                <w:szCs w:val="24"/>
              </w:rPr>
              <w:t xml:space="preserve">e new policy.  </w:t>
            </w:r>
          </w:p>
          <w:p w14:paraId="5AD05DC1" w14:textId="77777777" w:rsidR="002045A1" w:rsidRDefault="002045A1" w:rsidP="0055024C">
            <w:pPr>
              <w:rPr>
                <w:rFonts w:ascii="Times New Roman" w:hAnsi="Times New Roman" w:cs="Times New Roman"/>
                <w:sz w:val="24"/>
                <w:szCs w:val="24"/>
              </w:rPr>
            </w:pPr>
          </w:p>
          <w:p w14:paraId="068D75CE" w14:textId="60D15C57"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Clarification is included that s</w:t>
            </w:r>
            <w:r w:rsidR="005A5AE1">
              <w:rPr>
                <w:rFonts w:ascii="Times New Roman" w:hAnsi="Times New Roman" w:cs="Times New Roman"/>
                <w:sz w:val="24"/>
                <w:szCs w:val="24"/>
              </w:rPr>
              <w:t xml:space="preserve">eminar courses, </w:t>
            </w:r>
            <w:proofErr w:type="spellStart"/>
            <w:r w:rsidR="005A5AE1">
              <w:rPr>
                <w:rFonts w:ascii="Times New Roman" w:hAnsi="Times New Roman" w:cs="Times New Roman"/>
                <w:sz w:val="24"/>
                <w:szCs w:val="24"/>
              </w:rPr>
              <w:t>i.e</w:t>
            </w:r>
            <w:proofErr w:type="spellEnd"/>
            <w:r w:rsidR="005A5AE1">
              <w:rPr>
                <w:rFonts w:ascii="Times New Roman" w:hAnsi="Times New Roman" w:cs="Times New Roman"/>
                <w:sz w:val="24"/>
                <w:szCs w:val="24"/>
              </w:rPr>
              <w:t>, involving a series of seminar speakers, are still not tr</w:t>
            </w:r>
            <w:r>
              <w:rPr>
                <w:rFonts w:ascii="Times New Roman" w:hAnsi="Times New Roman" w:cs="Times New Roman"/>
                <w:sz w:val="24"/>
                <w:szCs w:val="24"/>
              </w:rPr>
              <w:t>ansferrable to a degree program of study.</w:t>
            </w:r>
          </w:p>
        </w:tc>
      </w:tr>
      <w:tr w:rsidR="0055024C" w:rsidRPr="003E3BEC" w14:paraId="26443140" w14:textId="77777777" w:rsidTr="006A5C7C">
        <w:tc>
          <w:tcPr>
            <w:tcW w:w="2317" w:type="dxa"/>
          </w:tcPr>
          <w:p w14:paraId="20729FD9" w14:textId="27E6A428"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lastRenderedPageBreak/>
              <w:t>Chapter 7, Section B.1</w:t>
            </w:r>
          </w:p>
        </w:tc>
        <w:tc>
          <w:tcPr>
            <w:tcW w:w="3565" w:type="dxa"/>
          </w:tcPr>
          <w:p w14:paraId="686B0904" w14:textId="1C6850E4"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Master’s Program of Study Requirements</w:t>
            </w:r>
          </w:p>
        </w:tc>
        <w:tc>
          <w:tcPr>
            <w:tcW w:w="3905" w:type="dxa"/>
          </w:tcPr>
          <w:p w14:paraId="6D45DFB4" w14:textId="1B66A490" w:rsidR="0055024C" w:rsidRPr="00DD548B" w:rsidRDefault="0055024C" w:rsidP="0055024C">
            <w:pPr>
              <w:tabs>
                <w:tab w:val="left" w:pos="270"/>
              </w:tabs>
              <w:autoSpaceDE w:val="0"/>
              <w:autoSpaceDN w:val="0"/>
              <w:adjustRightInd w:val="0"/>
              <w:rPr>
                <w:rFonts w:ascii="Times New Roman" w:hAnsi="Times New Roman" w:cs="Times New Roman"/>
                <w:sz w:val="24"/>
                <w:szCs w:val="24"/>
              </w:rPr>
            </w:pPr>
          </w:p>
        </w:tc>
        <w:tc>
          <w:tcPr>
            <w:tcW w:w="4195" w:type="dxa"/>
          </w:tcPr>
          <w:p w14:paraId="2CA3E2E5" w14:textId="4BC3DF9C"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No Change—Clarification was added to this chapter that audit or Pass/Fail courses may not be used on the program of study.</w:t>
            </w:r>
          </w:p>
        </w:tc>
      </w:tr>
      <w:tr w:rsidR="0055024C" w:rsidRPr="003E3BEC" w14:paraId="5E065AC3" w14:textId="77777777" w:rsidTr="006A5C7C">
        <w:tc>
          <w:tcPr>
            <w:tcW w:w="2317" w:type="dxa"/>
          </w:tcPr>
          <w:p w14:paraId="266E5E36" w14:textId="34663F76"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Chapter 8, Section B.1</w:t>
            </w:r>
          </w:p>
        </w:tc>
        <w:tc>
          <w:tcPr>
            <w:tcW w:w="3565" w:type="dxa"/>
          </w:tcPr>
          <w:p w14:paraId="73211249" w14:textId="68F3EC6E"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Doctoral Program of Study Requirements</w:t>
            </w:r>
          </w:p>
        </w:tc>
        <w:tc>
          <w:tcPr>
            <w:tcW w:w="3905" w:type="dxa"/>
          </w:tcPr>
          <w:p w14:paraId="56C75E19" w14:textId="27679DAF" w:rsidR="0055024C" w:rsidRPr="00DD548B" w:rsidRDefault="0055024C" w:rsidP="0055024C">
            <w:pPr>
              <w:tabs>
                <w:tab w:val="left" w:pos="270"/>
              </w:tabs>
              <w:autoSpaceDE w:val="0"/>
              <w:autoSpaceDN w:val="0"/>
              <w:adjustRightInd w:val="0"/>
              <w:rPr>
                <w:rFonts w:ascii="Times New Roman" w:hAnsi="Times New Roman" w:cs="Times New Roman"/>
                <w:color w:val="C00000"/>
                <w:sz w:val="24"/>
                <w:szCs w:val="24"/>
              </w:rPr>
            </w:pPr>
          </w:p>
        </w:tc>
        <w:tc>
          <w:tcPr>
            <w:tcW w:w="4195" w:type="dxa"/>
          </w:tcPr>
          <w:p w14:paraId="3971CE5B" w14:textId="619BE6D9"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No Change—Clarification was added to this chapter that audit or Pass/Fail courses may not be used on the program of study.</w:t>
            </w:r>
          </w:p>
        </w:tc>
      </w:tr>
      <w:tr w:rsidR="00BE0D8B" w:rsidRPr="003E3BEC" w14:paraId="2DF3E5C4" w14:textId="77777777" w:rsidTr="006A5C7C">
        <w:tc>
          <w:tcPr>
            <w:tcW w:w="2317" w:type="dxa"/>
          </w:tcPr>
          <w:p w14:paraId="2FE36BD9" w14:textId="3D4B5B17" w:rsidR="00BE0D8B" w:rsidRDefault="00BE0D8B" w:rsidP="0055024C">
            <w:pPr>
              <w:rPr>
                <w:rFonts w:ascii="Times New Roman" w:hAnsi="Times New Roman" w:cs="Times New Roman"/>
                <w:sz w:val="24"/>
                <w:szCs w:val="24"/>
              </w:rPr>
            </w:pPr>
            <w:r>
              <w:rPr>
                <w:rFonts w:ascii="Times New Roman" w:hAnsi="Times New Roman" w:cs="Times New Roman"/>
                <w:sz w:val="24"/>
                <w:szCs w:val="24"/>
              </w:rPr>
              <w:t>Chapter 8, Section C.2</w:t>
            </w:r>
          </w:p>
        </w:tc>
        <w:tc>
          <w:tcPr>
            <w:tcW w:w="3565" w:type="dxa"/>
          </w:tcPr>
          <w:p w14:paraId="42AD282B" w14:textId="039B7F0D" w:rsidR="00BE0D8B" w:rsidRDefault="00BE0D8B" w:rsidP="0055024C">
            <w:pPr>
              <w:rPr>
                <w:rFonts w:ascii="Times New Roman" w:hAnsi="Times New Roman" w:cs="Times New Roman"/>
                <w:sz w:val="24"/>
                <w:szCs w:val="24"/>
              </w:rPr>
            </w:pPr>
            <w:r>
              <w:rPr>
                <w:rFonts w:ascii="Times New Roman" w:hAnsi="Times New Roman" w:cs="Times New Roman"/>
                <w:sz w:val="24"/>
                <w:szCs w:val="24"/>
              </w:rPr>
              <w:t>Preliminary Examination</w:t>
            </w:r>
          </w:p>
        </w:tc>
        <w:tc>
          <w:tcPr>
            <w:tcW w:w="3905" w:type="dxa"/>
          </w:tcPr>
          <w:p w14:paraId="7110358F" w14:textId="5BD282E5" w:rsidR="00BE0D8B" w:rsidRPr="009B1FDE" w:rsidRDefault="00BE0D8B" w:rsidP="00BE0D8B">
            <w:pPr>
              <w:shd w:val="clear" w:color="auto" w:fill="FFFFFF"/>
              <w:outlineLvl w:val="2"/>
            </w:pPr>
            <w:r w:rsidRPr="00B8407E">
              <w:rPr>
                <w:rFonts w:cs="Times New Roman"/>
                <w:b/>
              </w:rPr>
              <w:t>Clarification</w:t>
            </w:r>
            <w:r w:rsidR="00B8407E" w:rsidRPr="00B8407E">
              <w:rPr>
                <w:rFonts w:cs="Times New Roman"/>
                <w:b/>
              </w:rPr>
              <w:t xml:space="preserve"> (highlighted in yellow</w:t>
            </w:r>
            <w:r w:rsidR="00B8407E" w:rsidRPr="00B8407E">
              <w:rPr>
                <w:rFonts w:ascii="Times New Roman" w:hAnsi="Times New Roman" w:cs="Times New Roman"/>
              </w:rPr>
              <w:t>)</w:t>
            </w:r>
            <w:r w:rsidRPr="00B8407E">
              <w:rPr>
                <w:rFonts w:ascii="Times New Roman" w:hAnsi="Times New Roman" w:cs="Times New Roman"/>
              </w:rPr>
              <w:t>:</w:t>
            </w:r>
            <w:r>
              <w:rPr>
                <w:rFonts w:ascii="Times New Roman" w:hAnsi="Times New Roman" w:cs="Times New Roman"/>
                <w:sz w:val="24"/>
                <w:szCs w:val="24"/>
              </w:rPr>
              <w:t xml:space="preserve"> </w:t>
            </w:r>
            <w:r w:rsidRPr="00CB38D9">
              <w:t xml:space="preserve">Individual programs determine </w:t>
            </w:r>
            <w:r w:rsidRPr="002E6895">
              <w:rPr>
                <w:highlight w:val="yellow"/>
              </w:rPr>
              <w:t>in their bylaws</w:t>
            </w:r>
            <w:r w:rsidRPr="00CB38D9">
              <w:t xml:space="preserve"> which faculty </w:t>
            </w:r>
            <w:r w:rsidR="00CB38D9" w:rsidRPr="002E6895">
              <w:rPr>
                <w:highlight w:val="yellow"/>
              </w:rPr>
              <w:t xml:space="preserve">can participate </w:t>
            </w:r>
            <w:r w:rsidRPr="002E6895">
              <w:rPr>
                <w:highlight w:val="yellow"/>
              </w:rPr>
              <w:t xml:space="preserve">in the graduate program </w:t>
            </w:r>
            <w:r w:rsidR="00CB38D9" w:rsidRPr="002E6895">
              <w:rPr>
                <w:highlight w:val="yellow"/>
              </w:rPr>
              <w:t>and thus</w:t>
            </w:r>
            <w:r w:rsidR="00CB38D9" w:rsidRPr="00CB38D9">
              <w:t xml:space="preserve"> </w:t>
            </w:r>
            <w:r w:rsidRPr="00CB38D9">
              <w:t>are eligible to vote</w:t>
            </w:r>
            <w:r w:rsidR="00CB38D9" w:rsidRPr="00CB38D9">
              <w:t>.  I</w:t>
            </w:r>
            <w:r w:rsidRPr="00CB38D9">
              <w:t xml:space="preserve">n all cases, any eligible faculty wishing to vote must be in attendance during all of the examination and must have participated in the assessment of the student’s examination work. At the discretion of the major program (department) chair, members of the </w:t>
            </w:r>
            <w:r w:rsidRPr="002E6895">
              <w:rPr>
                <w:highlight w:val="yellow"/>
              </w:rPr>
              <w:t>WSU</w:t>
            </w:r>
            <w:r w:rsidRPr="00CB38D9">
              <w:t xml:space="preserve"> faculty from </w:t>
            </w:r>
            <w:r w:rsidRPr="002E6895">
              <w:rPr>
                <w:b/>
                <w:i/>
                <w:highlight w:val="yellow"/>
              </w:rPr>
              <w:t>other</w:t>
            </w:r>
            <w:r w:rsidRPr="002E6895">
              <w:rPr>
                <w:highlight w:val="yellow"/>
              </w:rPr>
              <w:t xml:space="preserve"> graduate</w:t>
            </w:r>
            <w:r w:rsidRPr="00CB38D9">
              <w:t xml:space="preserve"> programs may be present and may ask questions</w:t>
            </w:r>
            <w:r w:rsidR="00B8407E" w:rsidRPr="00CB38D9">
              <w:t>.  H</w:t>
            </w:r>
            <w:r w:rsidRPr="00CB38D9">
              <w:t>owever, these faculty are not eligible to vote.</w:t>
            </w:r>
            <w:r w:rsidRPr="009B1FDE">
              <w:t xml:space="preserve"> </w:t>
            </w:r>
          </w:p>
          <w:p w14:paraId="07EAC647" w14:textId="1623A8D2" w:rsidR="00BE0D8B" w:rsidRPr="00BE7A81" w:rsidRDefault="00BE0D8B" w:rsidP="0055024C">
            <w:pPr>
              <w:shd w:val="clear" w:color="auto" w:fill="FFFFFF"/>
              <w:rPr>
                <w:rFonts w:ascii="Times New Roman" w:hAnsi="Times New Roman" w:cs="Times New Roman"/>
                <w:sz w:val="24"/>
                <w:szCs w:val="24"/>
              </w:rPr>
            </w:pPr>
          </w:p>
        </w:tc>
        <w:tc>
          <w:tcPr>
            <w:tcW w:w="4195" w:type="dxa"/>
          </w:tcPr>
          <w:p w14:paraId="5E373139" w14:textId="77777777" w:rsidR="00BE0D8B" w:rsidRDefault="00BE0D8B" w:rsidP="00BE7A81">
            <w:pPr>
              <w:rPr>
                <w:rFonts w:ascii="Times New Roman" w:hAnsi="Times New Roman" w:cs="Times New Roman"/>
                <w:sz w:val="24"/>
                <w:szCs w:val="24"/>
              </w:rPr>
            </w:pPr>
            <w:r>
              <w:rPr>
                <w:rFonts w:ascii="Times New Roman" w:hAnsi="Times New Roman" w:cs="Times New Roman"/>
                <w:sz w:val="24"/>
                <w:szCs w:val="24"/>
              </w:rPr>
              <w:t>No Change—Clarification was added on which faculty may vote in a preliminary exam.</w:t>
            </w:r>
          </w:p>
          <w:p w14:paraId="0668391E" w14:textId="77777777" w:rsidR="00B8407E" w:rsidRDefault="00B8407E" w:rsidP="00BE7A81">
            <w:pPr>
              <w:rPr>
                <w:rFonts w:ascii="Times New Roman" w:hAnsi="Times New Roman" w:cs="Times New Roman"/>
                <w:sz w:val="24"/>
                <w:szCs w:val="24"/>
              </w:rPr>
            </w:pPr>
          </w:p>
          <w:p w14:paraId="106B37D1" w14:textId="010D4C57" w:rsidR="00B8407E" w:rsidRPr="009B1FDE" w:rsidRDefault="00B8407E" w:rsidP="00B8407E">
            <w:pPr>
              <w:shd w:val="clear" w:color="auto" w:fill="FFFFFF"/>
              <w:outlineLvl w:val="2"/>
            </w:pPr>
            <w:r>
              <w:rPr>
                <w:rFonts w:ascii="Times New Roman" w:hAnsi="Times New Roman" w:cs="Times New Roman"/>
                <w:sz w:val="24"/>
                <w:szCs w:val="24"/>
              </w:rPr>
              <w:t>Formerly it read:</w:t>
            </w:r>
            <w:r w:rsidRPr="009B1FDE">
              <w:t xml:space="preserve"> Individual programs may determine</w:t>
            </w:r>
            <w:r>
              <w:t xml:space="preserve"> </w:t>
            </w:r>
            <w:r w:rsidRPr="009B1FDE">
              <w:t xml:space="preserve">which faculty are eligible to vote, but in all cases, any </w:t>
            </w:r>
            <w:r>
              <w:t xml:space="preserve">eligible </w:t>
            </w:r>
            <w:r w:rsidRPr="009B1FDE">
              <w:t xml:space="preserve">faculty wishing to vote must be in attendance during all of the examination and must have participated in the assessment of the student’s examination work. At the discretion of the major program (department) chair, </w:t>
            </w:r>
            <w:r w:rsidRPr="00B8407E">
              <w:t>members of the faculty from other programs and faculty from the major and minor programs may be present, ask questions, but shall not vote.</w:t>
            </w:r>
            <w:r w:rsidRPr="009B1FDE">
              <w:t xml:space="preserve"> </w:t>
            </w:r>
          </w:p>
          <w:p w14:paraId="54C53E4D" w14:textId="6763EC78" w:rsidR="00B8407E" w:rsidRPr="00BE7A81" w:rsidRDefault="00B8407E" w:rsidP="00BE7A81">
            <w:pPr>
              <w:rPr>
                <w:rFonts w:ascii="Times New Roman" w:hAnsi="Times New Roman" w:cs="Times New Roman"/>
                <w:sz w:val="24"/>
                <w:szCs w:val="24"/>
              </w:rPr>
            </w:pPr>
          </w:p>
        </w:tc>
      </w:tr>
      <w:tr w:rsidR="0055024C" w:rsidRPr="003E3BEC" w14:paraId="2DC41086" w14:textId="77777777" w:rsidTr="006A5C7C">
        <w:tc>
          <w:tcPr>
            <w:tcW w:w="2317" w:type="dxa"/>
          </w:tcPr>
          <w:p w14:paraId="6CC5EFFB" w14:textId="34F3FE0E"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Chapter 9</w:t>
            </w:r>
          </w:p>
        </w:tc>
        <w:tc>
          <w:tcPr>
            <w:tcW w:w="3565" w:type="dxa"/>
          </w:tcPr>
          <w:p w14:paraId="00946ED1" w14:textId="2A910289"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Graduate Assistantships—Service Requirements</w:t>
            </w:r>
          </w:p>
        </w:tc>
        <w:tc>
          <w:tcPr>
            <w:tcW w:w="3905" w:type="dxa"/>
          </w:tcPr>
          <w:p w14:paraId="596BFA80" w14:textId="7D360CC0" w:rsidR="0055024C" w:rsidRPr="00BE7A81" w:rsidRDefault="0055024C" w:rsidP="0055024C">
            <w:pPr>
              <w:shd w:val="clear" w:color="auto" w:fill="FFFFFF"/>
              <w:rPr>
                <w:rFonts w:ascii="Times New Roman" w:hAnsi="Times New Roman" w:cs="Times New Roman"/>
                <w:sz w:val="24"/>
                <w:szCs w:val="24"/>
              </w:rPr>
            </w:pPr>
          </w:p>
        </w:tc>
        <w:tc>
          <w:tcPr>
            <w:tcW w:w="4195" w:type="dxa"/>
          </w:tcPr>
          <w:p w14:paraId="7FCA2835" w14:textId="77777777" w:rsidR="00BE7A81" w:rsidRPr="00BE7A81" w:rsidRDefault="006A5C7C" w:rsidP="00BE7A81">
            <w:r w:rsidRPr="00BE7A81">
              <w:rPr>
                <w:rFonts w:ascii="Times New Roman" w:hAnsi="Times New Roman" w:cs="Times New Roman"/>
                <w:sz w:val="24"/>
                <w:szCs w:val="24"/>
              </w:rPr>
              <w:t xml:space="preserve">No policy changes. Policy taken from the Assistantship Processing Memo was added to the Handbook: </w:t>
            </w:r>
            <w:r w:rsidRPr="00BE7A81">
              <w:rPr>
                <w:b/>
              </w:rPr>
              <w:t xml:space="preserve">Service </w:t>
            </w:r>
            <w:r w:rsidR="00BE7A81" w:rsidRPr="00BE7A81">
              <w:rPr>
                <w:b/>
              </w:rPr>
              <w:t>Requirements for Assistantships:</w:t>
            </w:r>
            <w:r w:rsidR="00BE7A81" w:rsidRPr="00BE7A81">
              <w:t xml:space="preserve">  </w:t>
            </w:r>
          </w:p>
          <w:p w14:paraId="23147CF2" w14:textId="6D606981" w:rsidR="006A5C7C" w:rsidRPr="00BE7A81" w:rsidRDefault="006A5C7C" w:rsidP="00BE7A81">
            <w:pPr>
              <w:pStyle w:val="ListParagraph"/>
              <w:numPr>
                <w:ilvl w:val="1"/>
                <w:numId w:val="17"/>
              </w:numPr>
              <w:tabs>
                <w:tab w:val="clear" w:pos="2520"/>
                <w:tab w:val="num" w:pos="2160"/>
              </w:tabs>
              <w:ind w:left="342"/>
            </w:pPr>
            <w:r w:rsidRPr="00BE7A81">
              <w:lastRenderedPageBreak/>
              <w:t>Graduate student appointments usually require half-time service. Appointments may, in some instances, be made for less than half-time at correspondingly reduced salaries (and tuition waivers).</w:t>
            </w:r>
          </w:p>
          <w:p w14:paraId="640A22C8" w14:textId="77777777" w:rsidR="006A5C7C" w:rsidRPr="00BE7A81" w:rsidRDefault="006A5C7C" w:rsidP="00BE7A81">
            <w:pPr>
              <w:pStyle w:val="ListParagraph"/>
              <w:numPr>
                <w:ilvl w:val="1"/>
                <w:numId w:val="17"/>
              </w:numPr>
              <w:shd w:val="clear" w:color="auto" w:fill="FFFFFF"/>
              <w:tabs>
                <w:tab w:val="clear" w:pos="2520"/>
                <w:tab w:val="num" w:pos="2160"/>
              </w:tabs>
              <w:ind w:left="342" w:hanging="342"/>
              <w:outlineLvl w:val="2"/>
            </w:pPr>
            <w:r w:rsidRPr="00BE7A81">
              <w:t xml:space="preserve">Half-time service requires an average of 20 hours per week during the term of the appointment. Fractional appointments (less than half-time), when permitted, require work on a proportionate basis.  </w:t>
            </w:r>
          </w:p>
          <w:p w14:paraId="73E54ECF" w14:textId="77777777" w:rsidR="006A5C7C" w:rsidRPr="00BE7A81" w:rsidRDefault="006A5C7C" w:rsidP="00BE7A81">
            <w:pPr>
              <w:pStyle w:val="ListParagraph"/>
              <w:numPr>
                <w:ilvl w:val="1"/>
                <w:numId w:val="17"/>
              </w:numPr>
              <w:shd w:val="clear" w:color="auto" w:fill="FFFFFF"/>
              <w:tabs>
                <w:tab w:val="clear" w:pos="2520"/>
                <w:tab w:val="num" w:pos="2160"/>
              </w:tabs>
              <w:ind w:left="342" w:hanging="342"/>
              <w:outlineLvl w:val="2"/>
            </w:pPr>
            <w:r w:rsidRPr="00BE7A81">
              <w:t xml:space="preserve">During the term of the appointment, all graduate student service appointees are expected to be at work each normal workday, including periods when the university is not in session, with the exception of the legal holidays designated by the Board of Regents (see </w:t>
            </w:r>
            <w:hyperlink r:id="rId7" w:history="1">
              <w:r w:rsidRPr="00BE7A81">
                <w:rPr>
                  <w:rStyle w:val="Hyperlink"/>
                </w:rPr>
                <w:t>http://www.hrs.wsu.edu</w:t>
              </w:r>
            </w:hyperlink>
            <w:r w:rsidRPr="00BE7A81">
              <w:t xml:space="preserve"> for official university holidays).</w:t>
            </w:r>
          </w:p>
          <w:p w14:paraId="3F0D5A94" w14:textId="77777777" w:rsidR="006A5C7C" w:rsidRPr="00BE7A81" w:rsidRDefault="006A5C7C" w:rsidP="00BE7A81">
            <w:pPr>
              <w:pStyle w:val="ListParagraph"/>
              <w:numPr>
                <w:ilvl w:val="1"/>
                <w:numId w:val="17"/>
              </w:numPr>
              <w:shd w:val="clear" w:color="auto" w:fill="FFFFFF"/>
              <w:tabs>
                <w:tab w:val="clear" w:pos="2520"/>
                <w:tab w:val="num" w:pos="2160"/>
              </w:tabs>
              <w:ind w:left="342" w:hanging="342"/>
              <w:outlineLvl w:val="2"/>
            </w:pPr>
            <w:r w:rsidRPr="00BE7A81">
              <w:t>There is no annual leave or sick leave associated with assistantship appointments.</w:t>
            </w:r>
          </w:p>
          <w:p w14:paraId="1E75F1A5" w14:textId="5C6D1F4F" w:rsidR="0055024C" w:rsidRPr="00BE7A81" w:rsidRDefault="00BE7A81" w:rsidP="006A5C7C">
            <w:pPr>
              <w:rPr>
                <w:rFonts w:ascii="Times New Roman" w:hAnsi="Times New Roman" w:cs="Times New Roman"/>
                <w:sz w:val="24"/>
                <w:szCs w:val="24"/>
              </w:rPr>
            </w:pPr>
            <w:r>
              <w:t>No service to the university is required of fellows or trainees.</w:t>
            </w:r>
          </w:p>
        </w:tc>
      </w:tr>
      <w:tr w:rsidR="0055024C" w:rsidRPr="003E3BEC" w14:paraId="1677E15A" w14:textId="77777777" w:rsidTr="006A5C7C">
        <w:tc>
          <w:tcPr>
            <w:tcW w:w="2317" w:type="dxa"/>
          </w:tcPr>
          <w:p w14:paraId="34D4E5A6" w14:textId="4678A5D9"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lastRenderedPageBreak/>
              <w:t>Chapter 9, Section D</w:t>
            </w:r>
          </w:p>
        </w:tc>
        <w:tc>
          <w:tcPr>
            <w:tcW w:w="3565" w:type="dxa"/>
          </w:tcPr>
          <w:p w14:paraId="667ADFFA" w14:textId="53728B3D" w:rsidR="0055024C" w:rsidRPr="00DD548B" w:rsidRDefault="006A5C7C" w:rsidP="0055024C">
            <w:pPr>
              <w:rPr>
                <w:rFonts w:ascii="Times New Roman" w:hAnsi="Times New Roman" w:cs="Times New Roman"/>
                <w:sz w:val="24"/>
                <w:szCs w:val="24"/>
              </w:rPr>
            </w:pPr>
            <w:r>
              <w:rPr>
                <w:rFonts w:ascii="Times New Roman" w:hAnsi="Times New Roman" w:cs="Times New Roman"/>
                <w:sz w:val="24"/>
                <w:szCs w:val="24"/>
              </w:rPr>
              <w:t>Academic Load for Graduate Students</w:t>
            </w:r>
          </w:p>
        </w:tc>
        <w:tc>
          <w:tcPr>
            <w:tcW w:w="3905" w:type="dxa"/>
          </w:tcPr>
          <w:p w14:paraId="0690DC38" w14:textId="0EC5ADA5" w:rsidR="0055024C" w:rsidRPr="00DD548B" w:rsidRDefault="0055024C" w:rsidP="0055024C">
            <w:pPr>
              <w:rPr>
                <w:rFonts w:ascii="Times New Roman" w:hAnsi="Times New Roman" w:cs="Times New Roman"/>
                <w:sz w:val="24"/>
                <w:szCs w:val="24"/>
              </w:rPr>
            </w:pPr>
          </w:p>
        </w:tc>
        <w:tc>
          <w:tcPr>
            <w:tcW w:w="4195" w:type="dxa"/>
          </w:tcPr>
          <w:p w14:paraId="658A1279" w14:textId="2643E192" w:rsidR="006A5C7C" w:rsidRPr="009B1FDE" w:rsidRDefault="006A5C7C" w:rsidP="006A5C7C">
            <w:r>
              <w:rPr>
                <w:rFonts w:ascii="Times New Roman" w:hAnsi="Times New Roman" w:cs="Times New Roman"/>
                <w:sz w:val="24"/>
                <w:szCs w:val="24"/>
              </w:rPr>
              <w:t xml:space="preserve">Clarification was added: </w:t>
            </w:r>
            <w:r>
              <w:t>NOTE:  100- and 200-level PE Activity courses do not count toward the minimum 10-credit enrollment requirement.</w:t>
            </w:r>
          </w:p>
          <w:p w14:paraId="52CCD0EC" w14:textId="02E9FC8B" w:rsidR="0055024C" w:rsidRPr="00DD548B" w:rsidRDefault="0055024C" w:rsidP="0055024C">
            <w:pPr>
              <w:rPr>
                <w:rFonts w:ascii="Times New Roman" w:hAnsi="Times New Roman" w:cs="Times New Roman"/>
                <w:sz w:val="24"/>
                <w:szCs w:val="24"/>
              </w:rPr>
            </w:pPr>
          </w:p>
        </w:tc>
      </w:tr>
      <w:tr w:rsidR="0055024C" w:rsidRPr="003E3BEC" w14:paraId="2EE7F933" w14:textId="77777777" w:rsidTr="006A5C7C">
        <w:tc>
          <w:tcPr>
            <w:tcW w:w="2317" w:type="dxa"/>
          </w:tcPr>
          <w:p w14:paraId="3E12E7AD" w14:textId="320CF17C" w:rsidR="0055024C" w:rsidRPr="00DD548B" w:rsidRDefault="004A3EC6" w:rsidP="00B270F8">
            <w:pPr>
              <w:rPr>
                <w:rFonts w:ascii="Times New Roman" w:hAnsi="Times New Roman" w:cs="Times New Roman"/>
                <w:sz w:val="24"/>
                <w:szCs w:val="24"/>
              </w:rPr>
            </w:pPr>
            <w:r>
              <w:rPr>
                <w:rFonts w:ascii="Times New Roman" w:hAnsi="Times New Roman" w:cs="Times New Roman"/>
                <w:sz w:val="24"/>
                <w:szCs w:val="24"/>
              </w:rPr>
              <w:t xml:space="preserve">Chapter 12,  </w:t>
            </w:r>
            <w:r w:rsidR="00B270F8">
              <w:rPr>
                <w:rFonts w:ascii="Times New Roman" w:hAnsi="Times New Roman" w:cs="Times New Roman"/>
                <w:sz w:val="24"/>
                <w:szCs w:val="24"/>
              </w:rPr>
              <w:t xml:space="preserve">Graduate Student </w:t>
            </w:r>
            <w:r>
              <w:rPr>
                <w:rFonts w:ascii="Times New Roman" w:hAnsi="Times New Roman" w:cs="Times New Roman"/>
                <w:sz w:val="24"/>
                <w:szCs w:val="24"/>
              </w:rPr>
              <w:lastRenderedPageBreak/>
              <w:t xml:space="preserve">Rights and Responsibilities </w:t>
            </w:r>
          </w:p>
        </w:tc>
        <w:tc>
          <w:tcPr>
            <w:tcW w:w="3565" w:type="dxa"/>
          </w:tcPr>
          <w:p w14:paraId="764EB98D" w14:textId="7A788950" w:rsidR="0055024C" w:rsidRPr="00DD548B" w:rsidRDefault="004A3EC6" w:rsidP="0055024C">
            <w:pPr>
              <w:rPr>
                <w:rFonts w:ascii="Times New Roman" w:hAnsi="Times New Roman" w:cs="Times New Roman"/>
                <w:sz w:val="24"/>
                <w:szCs w:val="24"/>
              </w:rPr>
            </w:pPr>
            <w:r>
              <w:rPr>
                <w:rFonts w:ascii="Times New Roman" w:hAnsi="Times New Roman" w:cs="Times New Roman"/>
                <w:sz w:val="24"/>
                <w:szCs w:val="24"/>
              </w:rPr>
              <w:lastRenderedPageBreak/>
              <w:t xml:space="preserve">Scholarship and Research </w:t>
            </w:r>
          </w:p>
        </w:tc>
        <w:tc>
          <w:tcPr>
            <w:tcW w:w="3905" w:type="dxa"/>
          </w:tcPr>
          <w:p w14:paraId="3FCE081C" w14:textId="77777777" w:rsidR="004A3EC6" w:rsidRDefault="004A3EC6" w:rsidP="004A3EC6">
            <w:pPr>
              <w:rPr>
                <w:b/>
                <w:bCs/>
              </w:rPr>
            </w:pPr>
            <w:r>
              <w:rPr>
                <w:rFonts w:ascii="Times New Roman" w:hAnsi="Times New Roman" w:cs="Times New Roman"/>
                <w:sz w:val="24"/>
                <w:szCs w:val="24"/>
              </w:rPr>
              <w:t xml:space="preserve">Added: </w:t>
            </w:r>
            <w:r>
              <w:rPr>
                <w:b/>
                <w:bCs/>
              </w:rPr>
              <w:t>Authorship</w:t>
            </w:r>
          </w:p>
          <w:p w14:paraId="5E19EFF7" w14:textId="77777777" w:rsidR="004A3EC6" w:rsidRDefault="004A3EC6" w:rsidP="004A3EC6">
            <w:pPr>
              <w:rPr>
                <w:bCs/>
              </w:rPr>
            </w:pPr>
            <w:r>
              <w:rPr>
                <w:bCs/>
              </w:rPr>
              <w:lastRenderedPageBreak/>
              <w:t xml:space="preserve">The Office of Research Guidelines for Authorship Determination can be found at </w:t>
            </w:r>
            <w:hyperlink r:id="rId8" w:history="1">
              <w:r w:rsidRPr="0082207A">
                <w:rPr>
                  <w:rStyle w:val="Hyperlink"/>
                  <w:bCs/>
                </w:rPr>
                <w:t>https://research.wsu.edu/office-research/policies/authorship/</w:t>
              </w:r>
            </w:hyperlink>
            <w:r>
              <w:rPr>
                <w:bCs/>
              </w:rPr>
              <w:t xml:space="preserve">. </w:t>
            </w:r>
          </w:p>
          <w:p w14:paraId="45315108" w14:textId="097A9C62" w:rsidR="0055024C" w:rsidRPr="005C5693" w:rsidRDefault="0055024C" w:rsidP="0055024C">
            <w:pPr>
              <w:rPr>
                <w:rFonts w:ascii="Times New Roman" w:hAnsi="Times New Roman" w:cs="Times New Roman"/>
                <w:sz w:val="24"/>
                <w:szCs w:val="24"/>
              </w:rPr>
            </w:pPr>
          </w:p>
        </w:tc>
        <w:tc>
          <w:tcPr>
            <w:tcW w:w="4195" w:type="dxa"/>
          </w:tcPr>
          <w:p w14:paraId="0FFE6EA9" w14:textId="24D0F186" w:rsidR="0055024C" w:rsidRPr="00DD548B" w:rsidRDefault="0055024C" w:rsidP="0055024C">
            <w:pPr>
              <w:rPr>
                <w:rFonts w:ascii="Times New Roman" w:hAnsi="Times New Roman" w:cs="Times New Roman"/>
                <w:sz w:val="24"/>
                <w:szCs w:val="24"/>
              </w:rPr>
            </w:pPr>
          </w:p>
        </w:tc>
      </w:tr>
      <w:tr w:rsidR="0055024C" w:rsidRPr="003E3BEC" w14:paraId="632393E9" w14:textId="77777777" w:rsidTr="006A5C7C">
        <w:tc>
          <w:tcPr>
            <w:tcW w:w="2317" w:type="dxa"/>
          </w:tcPr>
          <w:p w14:paraId="100CF797" w14:textId="03B16CB7" w:rsidR="0055024C" w:rsidRPr="00DD548B" w:rsidRDefault="004A3EC6" w:rsidP="0055024C">
            <w:pPr>
              <w:rPr>
                <w:rFonts w:ascii="Times New Roman" w:hAnsi="Times New Roman" w:cs="Times New Roman"/>
                <w:sz w:val="24"/>
                <w:szCs w:val="24"/>
              </w:rPr>
            </w:pPr>
            <w:r>
              <w:rPr>
                <w:rFonts w:ascii="Times New Roman" w:hAnsi="Times New Roman" w:cs="Times New Roman"/>
                <w:sz w:val="24"/>
                <w:szCs w:val="24"/>
              </w:rPr>
              <w:lastRenderedPageBreak/>
              <w:t>Chapter 14</w:t>
            </w:r>
          </w:p>
        </w:tc>
        <w:tc>
          <w:tcPr>
            <w:tcW w:w="3565" w:type="dxa"/>
          </w:tcPr>
          <w:p w14:paraId="5C8310AE" w14:textId="3B8FA4CE" w:rsidR="0055024C" w:rsidRPr="00DD548B" w:rsidRDefault="004A3EC6" w:rsidP="0055024C">
            <w:pPr>
              <w:rPr>
                <w:rFonts w:ascii="Times New Roman" w:hAnsi="Times New Roman" w:cs="Times New Roman"/>
                <w:sz w:val="24"/>
                <w:szCs w:val="24"/>
              </w:rPr>
            </w:pPr>
            <w:r>
              <w:rPr>
                <w:rFonts w:ascii="Times New Roman" w:hAnsi="Times New Roman" w:cs="Times New Roman"/>
                <w:sz w:val="24"/>
                <w:szCs w:val="24"/>
              </w:rPr>
              <w:t>Professional Master’s Degree programs</w:t>
            </w:r>
          </w:p>
        </w:tc>
        <w:tc>
          <w:tcPr>
            <w:tcW w:w="3905" w:type="dxa"/>
          </w:tcPr>
          <w:p w14:paraId="2B23BF39" w14:textId="4B14FF27" w:rsidR="0055024C" w:rsidRPr="00DD548B" w:rsidRDefault="0055024C" w:rsidP="0055024C">
            <w:pPr>
              <w:rPr>
                <w:rFonts w:ascii="Times New Roman" w:hAnsi="Times New Roman" w:cs="Times New Roman"/>
                <w:sz w:val="24"/>
                <w:szCs w:val="24"/>
              </w:rPr>
            </w:pPr>
          </w:p>
        </w:tc>
        <w:tc>
          <w:tcPr>
            <w:tcW w:w="4195" w:type="dxa"/>
          </w:tcPr>
          <w:p w14:paraId="156BC9A6" w14:textId="22B02078" w:rsidR="0055024C" w:rsidRPr="00DD548B" w:rsidRDefault="004A3EC6" w:rsidP="0055024C">
            <w:pPr>
              <w:rPr>
                <w:rFonts w:ascii="Times New Roman" w:hAnsi="Times New Roman" w:cs="Times New Roman"/>
                <w:sz w:val="24"/>
                <w:szCs w:val="24"/>
              </w:rPr>
            </w:pPr>
            <w:r>
              <w:rPr>
                <w:rFonts w:ascii="Times New Roman" w:hAnsi="Times New Roman" w:cs="Times New Roman"/>
                <w:sz w:val="24"/>
                <w:szCs w:val="24"/>
              </w:rPr>
              <w:t xml:space="preserve">Approved by Faculty Senate in Fall 2015; added to Handbook.  Policy provides more flexibility with curriculum and committees to programs that are more professionally oriented.  </w:t>
            </w:r>
          </w:p>
        </w:tc>
      </w:tr>
    </w:tbl>
    <w:p w14:paraId="36A59C1B" w14:textId="60CE8961" w:rsidR="00A47FDC" w:rsidRDefault="00A47FDC"/>
    <w:sectPr w:rsidR="00A47FDC" w:rsidSect="003C686F">
      <w:headerReference w:type="default" r:id="rId9"/>
      <w:footerReference w:type="default" r:id="rId10"/>
      <w:pgSz w:w="15840" w:h="12240" w:orient="landscape"/>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7F808" w14:textId="77777777" w:rsidR="00046A38" w:rsidRDefault="00046A38" w:rsidP="00854F0A">
      <w:pPr>
        <w:spacing w:after="0" w:line="240" w:lineRule="auto"/>
      </w:pPr>
      <w:r>
        <w:separator/>
      </w:r>
    </w:p>
  </w:endnote>
  <w:endnote w:type="continuationSeparator" w:id="0">
    <w:p w14:paraId="66EF6E5F" w14:textId="77777777" w:rsidR="00046A38" w:rsidRDefault="00046A38" w:rsidP="0085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Serif Bold">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8CBE0" w14:textId="4362F5B3" w:rsidR="00854F0A" w:rsidRDefault="002626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w:t>
    </w:r>
    <w:r w:rsidR="006A5C7C">
      <w:rPr>
        <w:rFonts w:asciiTheme="majorHAnsi" w:eastAsiaTheme="majorEastAsia" w:hAnsiTheme="majorHAnsi" w:cstheme="majorBidi"/>
      </w:rPr>
      <w:t xml:space="preserve">6-17 </w:t>
    </w:r>
    <w:r w:rsidR="00E92970">
      <w:rPr>
        <w:rFonts w:asciiTheme="majorHAnsi" w:eastAsiaTheme="majorEastAsia" w:hAnsiTheme="majorHAnsi" w:cstheme="majorBidi"/>
      </w:rPr>
      <w:t xml:space="preserve">Graduate School Policies and Procedures Summary of Changes </w:t>
    </w:r>
    <w:r w:rsidR="00854F0A">
      <w:rPr>
        <w:rFonts w:asciiTheme="majorHAnsi" w:eastAsiaTheme="majorEastAsia" w:hAnsiTheme="majorHAnsi" w:cstheme="majorBidi"/>
      </w:rPr>
      <w:ptab w:relativeTo="margin" w:alignment="right" w:leader="none"/>
    </w:r>
    <w:r w:rsidR="00854F0A">
      <w:rPr>
        <w:rFonts w:asciiTheme="majorHAnsi" w:eastAsiaTheme="majorEastAsia" w:hAnsiTheme="majorHAnsi" w:cstheme="majorBidi"/>
      </w:rPr>
      <w:t xml:space="preserve">Page </w:t>
    </w:r>
    <w:r w:rsidR="00854F0A">
      <w:rPr>
        <w:rFonts w:eastAsiaTheme="minorEastAsia"/>
      </w:rPr>
      <w:fldChar w:fldCharType="begin"/>
    </w:r>
    <w:r w:rsidR="00854F0A">
      <w:instrText xml:space="preserve"> PAGE   \* MERGEFORMAT </w:instrText>
    </w:r>
    <w:r w:rsidR="00854F0A">
      <w:rPr>
        <w:rFonts w:eastAsiaTheme="minorEastAsia"/>
      </w:rPr>
      <w:fldChar w:fldCharType="separate"/>
    </w:r>
    <w:r w:rsidR="004B117E" w:rsidRPr="004B117E">
      <w:rPr>
        <w:rFonts w:asciiTheme="majorHAnsi" w:eastAsiaTheme="majorEastAsia" w:hAnsiTheme="majorHAnsi" w:cstheme="majorBidi"/>
        <w:noProof/>
      </w:rPr>
      <w:t>3</w:t>
    </w:r>
    <w:r w:rsidR="00854F0A">
      <w:rPr>
        <w:rFonts w:asciiTheme="majorHAnsi" w:eastAsiaTheme="majorEastAsia" w:hAnsiTheme="majorHAnsi" w:cstheme="majorBidi"/>
        <w:noProof/>
      </w:rPr>
      <w:fldChar w:fldCharType="end"/>
    </w:r>
  </w:p>
  <w:p w14:paraId="6F121AB4" w14:textId="77777777" w:rsidR="00854F0A" w:rsidRDefault="00854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A35C" w14:textId="77777777" w:rsidR="00046A38" w:rsidRDefault="00046A38" w:rsidP="00854F0A">
      <w:pPr>
        <w:spacing w:after="0" w:line="240" w:lineRule="auto"/>
      </w:pPr>
      <w:r>
        <w:separator/>
      </w:r>
    </w:p>
  </w:footnote>
  <w:footnote w:type="continuationSeparator" w:id="0">
    <w:p w14:paraId="2E0AE052" w14:textId="77777777" w:rsidR="00046A38" w:rsidRDefault="00046A38" w:rsidP="00854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0AFB" w14:textId="4ECC5EDB" w:rsidR="00854F0A" w:rsidRPr="00B77A88" w:rsidRDefault="00D37BF5" w:rsidP="00E92970">
    <w:pPr>
      <w:pStyle w:val="Header"/>
      <w:tabs>
        <w:tab w:val="clear" w:pos="4680"/>
        <w:tab w:val="clear" w:pos="9360"/>
        <w:tab w:val="left" w:pos="-900"/>
        <w:tab w:val="left" w:pos="-720"/>
      </w:tabs>
      <w:jc w:val="center"/>
      <w:rPr>
        <w:b/>
        <w:sz w:val="32"/>
        <w:szCs w:val="32"/>
      </w:rPr>
    </w:pPr>
    <w:r>
      <w:rPr>
        <w:b/>
        <w:sz w:val="32"/>
        <w:szCs w:val="32"/>
      </w:rPr>
      <w:t>2016-17</w:t>
    </w:r>
    <w:r w:rsidR="00E92970" w:rsidRPr="00B77A88">
      <w:rPr>
        <w:b/>
        <w:sz w:val="32"/>
        <w:szCs w:val="32"/>
      </w:rPr>
      <w:t xml:space="preserve"> Proposed Changes to the Graduate School Policies and Procedures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662B"/>
    <w:multiLevelType w:val="hybridMultilevel"/>
    <w:tmpl w:val="BA76B3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31728D"/>
    <w:multiLevelType w:val="hybridMultilevel"/>
    <w:tmpl w:val="D24A1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B5352"/>
    <w:multiLevelType w:val="hybridMultilevel"/>
    <w:tmpl w:val="898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0B0"/>
    <w:multiLevelType w:val="hybridMultilevel"/>
    <w:tmpl w:val="992E26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C47CD"/>
    <w:multiLevelType w:val="hybridMultilevel"/>
    <w:tmpl w:val="7DC0BFE0"/>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6062FF"/>
    <w:multiLevelType w:val="hybridMultilevel"/>
    <w:tmpl w:val="B17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46690"/>
    <w:multiLevelType w:val="hybridMultilevel"/>
    <w:tmpl w:val="D1C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B7502"/>
    <w:multiLevelType w:val="multilevel"/>
    <w:tmpl w:val="2766D29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BBD7192"/>
    <w:multiLevelType w:val="multilevel"/>
    <w:tmpl w:val="4134B568"/>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4B049CB"/>
    <w:multiLevelType w:val="hybridMultilevel"/>
    <w:tmpl w:val="959E6E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B37DA"/>
    <w:multiLevelType w:val="hybridMultilevel"/>
    <w:tmpl w:val="C74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042DA"/>
    <w:multiLevelType w:val="hybridMultilevel"/>
    <w:tmpl w:val="C140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45E44AA"/>
    <w:multiLevelType w:val="hybridMultilevel"/>
    <w:tmpl w:val="B1E29F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73D5A66"/>
    <w:multiLevelType w:val="hybridMultilevel"/>
    <w:tmpl w:val="777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E093B"/>
    <w:multiLevelType w:val="hybridMultilevel"/>
    <w:tmpl w:val="BC4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D2D37"/>
    <w:multiLevelType w:val="multilevel"/>
    <w:tmpl w:val="8E98E578"/>
    <w:lvl w:ilvl="0">
      <w:start w:val="1"/>
      <w:numFmt w:val="bullet"/>
      <w:lvlText w:val=""/>
      <w:lvlJc w:val="left"/>
      <w:pPr>
        <w:tabs>
          <w:tab w:val="num" w:pos="1800"/>
        </w:tabs>
        <w:ind w:left="1800" w:hanging="360"/>
      </w:pPr>
      <w:rPr>
        <w:rFonts w:ascii="Symbol" w:hAnsi="Symbol" w:hint="default"/>
        <w:color w:val="auto"/>
      </w:rPr>
    </w:lvl>
    <w:lvl w:ilvl="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16" w15:restartNumberingAfterBreak="0">
    <w:nsid w:val="74E70FF6"/>
    <w:multiLevelType w:val="hybridMultilevel"/>
    <w:tmpl w:val="EB024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684038"/>
    <w:multiLevelType w:val="hybridMultilevel"/>
    <w:tmpl w:val="E028E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7"/>
  </w:num>
  <w:num w:numId="5">
    <w:abstractNumId w:val="10"/>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17"/>
  </w:num>
  <w:num w:numId="12">
    <w:abstractNumId w:val="16"/>
  </w:num>
  <w:num w:numId="13">
    <w:abstractNumId w:val="0"/>
  </w:num>
  <w:num w:numId="14">
    <w:abstractNumId w:val="12"/>
  </w:num>
  <w:num w:numId="15">
    <w:abstractNumId w:val="4"/>
  </w:num>
  <w:num w:numId="16">
    <w:abstractNumId w:val="5"/>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2A"/>
    <w:rsid w:val="0001457A"/>
    <w:rsid w:val="00032CB1"/>
    <w:rsid w:val="00046A38"/>
    <w:rsid w:val="00051737"/>
    <w:rsid w:val="0006223A"/>
    <w:rsid w:val="00071062"/>
    <w:rsid w:val="000A1094"/>
    <w:rsid w:val="000D0C54"/>
    <w:rsid w:val="000D191C"/>
    <w:rsid w:val="000D3510"/>
    <w:rsid w:val="000D4C84"/>
    <w:rsid w:val="000D6C58"/>
    <w:rsid w:val="00113798"/>
    <w:rsid w:val="00147798"/>
    <w:rsid w:val="0017033D"/>
    <w:rsid w:val="0017231F"/>
    <w:rsid w:val="001928AC"/>
    <w:rsid w:val="001D4A9A"/>
    <w:rsid w:val="001E7431"/>
    <w:rsid w:val="002045A1"/>
    <w:rsid w:val="00217BF5"/>
    <w:rsid w:val="00224A19"/>
    <w:rsid w:val="00240817"/>
    <w:rsid w:val="002564A6"/>
    <w:rsid w:val="00257E9A"/>
    <w:rsid w:val="00262646"/>
    <w:rsid w:val="00285EF0"/>
    <w:rsid w:val="002A2652"/>
    <w:rsid w:val="002A2840"/>
    <w:rsid w:val="002E6895"/>
    <w:rsid w:val="002E7157"/>
    <w:rsid w:val="00300808"/>
    <w:rsid w:val="00332D07"/>
    <w:rsid w:val="003515CD"/>
    <w:rsid w:val="003A7914"/>
    <w:rsid w:val="003C686F"/>
    <w:rsid w:val="003E3BEC"/>
    <w:rsid w:val="003E604F"/>
    <w:rsid w:val="003F2900"/>
    <w:rsid w:val="00400F1E"/>
    <w:rsid w:val="00456CDB"/>
    <w:rsid w:val="00467EC6"/>
    <w:rsid w:val="00470790"/>
    <w:rsid w:val="0047343D"/>
    <w:rsid w:val="00473B89"/>
    <w:rsid w:val="004752C4"/>
    <w:rsid w:val="00476C70"/>
    <w:rsid w:val="00483720"/>
    <w:rsid w:val="004A29E5"/>
    <w:rsid w:val="004A3EC6"/>
    <w:rsid w:val="004B117E"/>
    <w:rsid w:val="004B5807"/>
    <w:rsid w:val="00507193"/>
    <w:rsid w:val="00512DB7"/>
    <w:rsid w:val="005241A3"/>
    <w:rsid w:val="00532F8A"/>
    <w:rsid w:val="0055024C"/>
    <w:rsid w:val="00575129"/>
    <w:rsid w:val="005843BB"/>
    <w:rsid w:val="005A5AE1"/>
    <w:rsid w:val="005B0FA8"/>
    <w:rsid w:val="005B26B6"/>
    <w:rsid w:val="005C4CD5"/>
    <w:rsid w:val="005C5693"/>
    <w:rsid w:val="005E7A1B"/>
    <w:rsid w:val="005F0EDF"/>
    <w:rsid w:val="00604CC0"/>
    <w:rsid w:val="00626BAF"/>
    <w:rsid w:val="00685775"/>
    <w:rsid w:val="006A5C7C"/>
    <w:rsid w:val="006F01E4"/>
    <w:rsid w:val="006F546F"/>
    <w:rsid w:val="00707ADD"/>
    <w:rsid w:val="00711FCD"/>
    <w:rsid w:val="00730FF0"/>
    <w:rsid w:val="00731FD4"/>
    <w:rsid w:val="00732A35"/>
    <w:rsid w:val="00775065"/>
    <w:rsid w:val="00787C31"/>
    <w:rsid w:val="007936E2"/>
    <w:rsid w:val="007959CA"/>
    <w:rsid w:val="007961CC"/>
    <w:rsid w:val="007A1E27"/>
    <w:rsid w:val="007E5504"/>
    <w:rsid w:val="007F10B5"/>
    <w:rsid w:val="008076BD"/>
    <w:rsid w:val="00843868"/>
    <w:rsid w:val="00854F0A"/>
    <w:rsid w:val="00871EB8"/>
    <w:rsid w:val="008A13CC"/>
    <w:rsid w:val="008B1979"/>
    <w:rsid w:val="008F408A"/>
    <w:rsid w:val="00920B7B"/>
    <w:rsid w:val="00931F58"/>
    <w:rsid w:val="009653CE"/>
    <w:rsid w:val="00985D78"/>
    <w:rsid w:val="009B232E"/>
    <w:rsid w:val="009D4520"/>
    <w:rsid w:val="009E23D0"/>
    <w:rsid w:val="009F7821"/>
    <w:rsid w:val="00A07505"/>
    <w:rsid w:val="00A22903"/>
    <w:rsid w:val="00A23159"/>
    <w:rsid w:val="00A47FDC"/>
    <w:rsid w:val="00A67E86"/>
    <w:rsid w:val="00A7156B"/>
    <w:rsid w:val="00A72602"/>
    <w:rsid w:val="00AA043E"/>
    <w:rsid w:val="00AF7E30"/>
    <w:rsid w:val="00B17A64"/>
    <w:rsid w:val="00B270F8"/>
    <w:rsid w:val="00B50537"/>
    <w:rsid w:val="00B51F1A"/>
    <w:rsid w:val="00B6089F"/>
    <w:rsid w:val="00B67B50"/>
    <w:rsid w:val="00B77A88"/>
    <w:rsid w:val="00B8407E"/>
    <w:rsid w:val="00B84B14"/>
    <w:rsid w:val="00BD523B"/>
    <w:rsid w:val="00BE0D8B"/>
    <w:rsid w:val="00BE1279"/>
    <w:rsid w:val="00BE7A81"/>
    <w:rsid w:val="00C005E4"/>
    <w:rsid w:val="00C15BEC"/>
    <w:rsid w:val="00C2791E"/>
    <w:rsid w:val="00C52500"/>
    <w:rsid w:val="00C86F76"/>
    <w:rsid w:val="00CB38D9"/>
    <w:rsid w:val="00CE14EF"/>
    <w:rsid w:val="00CE4572"/>
    <w:rsid w:val="00CE4A03"/>
    <w:rsid w:val="00D03D94"/>
    <w:rsid w:val="00D14511"/>
    <w:rsid w:val="00D17362"/>
    <w:rsid w:val="00D37BF5"/>
    <w:rsid w:val="00D41294"/>
    <w:rsid w:val="00D44CA0"/>
    <w:rsid w:val="00D6070D"/>
    <w:rsid w:val="00D816EB"/>
    <w:rsid w:val="00D8193F"/>
    <w:rsid w:val="00D8512B"/>
    <w:rsid w:val="00D87D79"/>
    <w:rsid w:val="00D9152E"/>
    <w:rsid w:val="00DD548B"/>
    <w:rsid w:val="00E50646"/>
    <w:rsid w:val="00E763A0"/>
    <w:rsid w:val="00E8202A"/>
    <w:rsid w:val="00E86AA6"/>
    <w:rsid w:val="00E92970"/>
    <w:rsid w:val="00EA3A38"/>
    <w:rsid w:val="00EB236C"/>
    <w:rsid w:val="00EE40B9"/>
    <w:rsid w:val="00F41C64"/>
    <w:rsid w:val="00F80DFD"/>
    <w:rsid w:val="00FA69D0"/>
    <w:rsid w:val="00FB1522"/>
    <w:rsid w:val="00F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DE1B"/>
  <w15:docId w15:val="{FA034363-2454-4E21-B71C-DF830056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20"/>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732A35"/>
    <w:rPr>
      <w:sz w:val="16"/>
      <w:szCs w:val="16"/>
    </w:rPr>
  </w:style>
  <w:style w:type="paragraph" w:styleId="CommentText">
    <w:name w:val="annotation text"/>
    <w:basedOn w:val="Normal"/>
    <w:link w:val="CommentTextChar"/>
    <w:uiPriority w:val="99"/>
    <w:unhideWhenUsed/>
    <w:rsid w:val="00732A3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2A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5"/>
    <w:rPr>
      <w:rFonts w:ascii="Tahoma" w:hAnsi="Tahoma" w:cs="Tahoma"/>
      <w:sz w:val="16"/>
      <w:szCs w:val="16"/>
    </w:rPr>
  </w:style>
  <w:style w:type="paragraph" w:styleId="Header">
    <w:name w:val="header"/>
    <w:basedOn w:val="Normal"/>
    <w:link w:val="HeaderChar"/>
    <w:uiPriority w:val="99"/>
    <w:unhideWhenUsed/>
    <w:rsid w:val="0085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0A"/>
  </w:style>
  <w:style w:type="paragraph" w:styleId="Footer">
    <w:name w:val="footer"/>
    <w:basedOn w:val="Normal"/>
    <w:link w:val="FooterChar"/>
    <w:uiPriority w:val="99"/>
    <w:unhideWhenUsed/>
    <w:rsid w:val="00854F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0A"/>
  </w:style>
  <w:style w:type="character" w:styleId="Hyperlink">
    <w:name w:val="Hyperlink"/>
    <w:uiPriority w:val="99"/>
    <w:rsid w:val="00B84B14"/>
    <w:rPr>
      <w:rFonts w:cs="Times New Roman"/>
      <w:color w:val="0000FF"/>
      <w:u w:val="single"/>
    </w:rPr>
  </w:style>
  <w:style w:type="paragraph" w:customStyle="1" w:styleId="Pa48">
    <w:name w:val="Pa48"/>
    <w:basedOn w:val="Normal"/>
    <w:next w:val="Normal"/>
    <w:uiPriority w:val="99"/>
    <w:rsid w:val="005843BB"/>
    <w:pPr>
      <w:autoSpaceDE w:val="0"/>
      <w:autoSpaceDN w:val="0"/>
      <w:adjustRightInd w:val="0"/>
      <w:spacing w:after="0" w:line="161" w:lineRule="atLeast"/>
    </w:pPr>
    <w:rPr>
      <w:rFonts w:ascii="Stone Serif Bold" w:eastAsia="Times New Roman" w:hAnsi="Stone Serif Bold" w:cs="Times New Roman"/>
      <w:sz w:val="24"/>
      <w:szCs w:val="24"/>
    </w:rPr>
  </w:style>
  <w:style w:type="paragraph" w:styleId="CommentSubject">
    <w:name w:val="annotation subject"/>
    <w:basedOn w:val="CommentText"/>
    <w:next w:val="CommentText"/>
    <w:link w:val="CommentSubjectChar"/>
    <w:uiPriority w:val="99"/>
    <w:semiHidden/>
    <w:unhideWhenUsed/>
    <w:rsid w:val="003A791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A79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su.edu/office-research/policies/authorship/" TargetMode="External"/><Relationship Id="rId3" Type="http://schemas.openxmlformats.org/officeDocument/2006/relationships/settings" Target="settings.xml"/><Relationship Id="rId7" Type="http://schemas.openxmlformats.org/officeDocument/2006/relationships/hyperlink" Target="http://www.hrs.w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Sturko, Patricia Ann</dc:creator>
  <cp:lastModifiedBy>Sturko, Patricia Ann</cp:lastModifiedBy>
  <cp:revision>11</cp:revision>
  <cp:lastPrinted>2015-02-06T16:21:00Z</cp:lastPrinted>
  <dcterms:created xsi:type="dcterms:W3CDTF">2016-01-06T16:17:00Z</dcterms:created>
  <dcterms:modified xsi:type="dcterms:W3CDTF">2016-01-20T17:01:00Z</dcterms:modified>
</cp:coreProperties>
</file>