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CE" w:rsidRPr="00AA2AB9" w:rsidRDefault="00AA2AB9">
      <w:pPr>
        <w:rPr>
          <w:u w:val="single"/>
        </w:rPr>
      </w:pPr>
      <w:r w:rsidRPr="00AA2AB9">
        <w:rPr>
          <w:u w:val="single"/>
        </w:rPr>
        <w:t>Background</w:t>
      </w:r>
    </w:p>
    <w:p w:rsidR="00AA2AB9" w:rsidRDefault="00AA2AB9">
      <w:r>
        <w:t>The WSU Registrar received a Major Curricular Chan</w:t>
      </w:r>
      <w:r w:rsidR="000F6CBC">
        <w:t xml:space="preserve">ge </w:t>
      </w:r>
      <w:r w:rsidR="002A6DEE">
        <w:t>for a</w:t>
      </w:r>
      <w:r w:rsidR="005B0F59">
        <w:t xml:space="preserve"> new course on June 11, 2014. NURS 596 is a 3-credit course</w:t>
      </w:r>
      <w:r w:rsidR="002A6DEE">
        <w:t>.</w:t>
      </w:r>
    </w:p>
    <w:p w:rsidR="00AA2AB9" w:rsidRPr="00AA2AB9" w:rsidRDefault="00AA2AB9">
      <w:pPr>
        <w:rPr>
          <w:u w:val="single"/>
        </w:rPr>
      </w:pPr>
      <w:r w:rsidRPr="00AA2AB9">
        <w:rPr>
          <w:u w:val="single"/>
        </w:rPr>
        <w:t>Reviewer Comments</w:t>
      </w:r>
    </w:p>
    <w:p w:rsidR="00AA2AB9" w:rsidRDefault="00AA2AB9" w:rsidP="00AA2AB9">
      <w:pPr>
        <w:ind w:firstLine="720"/>
        <w:rPr>
          <w:b/>
        </w:rPr>
      </w:pPr>
      <w:r w:rsidRPr="00AA2AB9">
        <w:rPr>
          <w:b/>
        </w:rPr>
        <w:t>Rationale</w:t>
      </w:r>
    </w:p>
    <w:p w:rsidR="0020201A" w:rsidRPr="0020201A" w:rsidRDefault="005B0F59" w:rsidP="0020201A">
      <w:pPr>
        <w:pStyle w:val="ListParagraph"/>
        <w:numPr>
          <w:ilvl w:val="0"/>
          <w:numId w:val="1"/>
        </w:numPr>
        <w:rPr>
          <w:b/>
        </w:rPr>
      </w:pPr>
      <w:r>
        <w:t>The course rationale is that NURS 596 builds on the science and epistemology of two previous courses (</w:t>
      </w:r>
      <w:proofErr w:type="gramStart"/>
      <w:r>
        <w:t>NURS  526</w:t>
      </w:r>
      <w:proofErr w:type="gramEnd"/>
      <w:r>
        <w:t xml:space="preserve"> and NURS 535)</w:t>
      </w:r>
      <w:r w:rsidR="00CA23B9">
        <w:t>.</w:t>
      </w:r>
    </w:p>
    <w:p w:rsidR="00AA2AB9" w:rsidRDefault="00AA2AB9"/>
    <w:p w:rsidR="00AA2AB9" w:rsidRPr="00AA2AB9" w:rsidRDefault="00AA2AB9" w:rsidP="00AA2AB9">
      <w:pPr>
        <w:ind w:firstLine="720"/>
        <w:rPr>
          <w:b/>
        </w:rPr>
      </w:pPr>
      <w:r w:rsidRPr="00AA2AB9">
        <w:rPr>
          <w:b/>
        </w:rPr>
        <w:t>Syllabus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33"/>
        <w:gridCol w:w="6063"/>
        <w:gridCol w:w="523"/>
      </w:tblGrid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606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 contact information</w:t>
            </w:r>
          </w:p>
        </w:tc>
        <w:tc>
          <w:tcPr>
            <w:tcW w:w="52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Prefix and number, title, number of credits, pre-requisites</w:t>
            </w:r>
          </w:p>
        </w:tc>
        <w:tc>
          <w:tcPr>
            <w:tcW w:w="523" w:type="dxa"/>
          </w:tcPr>
          <w:p w:rsidR="00AA2AB9" w:rsidRPr="00EA5072" w:rsidRDefault="00AA4738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schedules and times and building/rooms</w:t>
            </w:r>
          </w:p>
        </w:tc>
        <w:tc>
          <w:tcPr>
            <w:tcW w:w="523" w:type="dxa"/>
          </w:tcPr>
          <w:p w:rsidR="00AA2AB9" w:rsidRPr="00EA5072" w:rsidRDefault="00AA4738" w:rsidP="00B72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required and recommended reading materials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learning outcomes and method for assessing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to week course outline</w:t>
            </w:r>
          </w:p>
        </w:tc>
        <w:tc>
          <w:tcPr>
            <w:tcW w:w="523" w:type="dxa"/>
          </w:tcPr>
          <w:p w:rsidR="00AA2AB9" w:rsidRDefault="004E55C1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Descriptions of required assignments</w:t>
            </w:r>
          </w:p>
        </w:tc>
        <w:tc>
          <w:tcPr>
            <w:tcW w:w="523" w:type="dxa"/>
          </w:tcPr>
          <w:p w:rsidR="00AA2AB9" w:rsidRDefault="00B2170E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Grading </w:t>
            </w: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weighting of required assignments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Penalties for late assignments</w:t>
            </w:r>
          </w:p>
        </w:tc>
        <w:tc>
          <w:tcPr>
            <w:tcW w:w="523" w:type="dxa"/>
          </w:tcPr>
          <w:p w:rsidR="00AA2AB9" w:rsidRDefault="00B2170E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criteria</w:t>
            </w:r>
          </w:p>
        </w:tc>
        <w:tc>
          <w:tcPr>
            <w:tcW w:w="523" w:type="dxa"/>
          </w:tcPr>
          <w:p w:rsidR="00AA2AB9" w:rsidRDefault="00B2170E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of midterm and final grades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or participation policies</w:t>
            </w:r>
          </w:p>
        </w:tc>
        <w:tc>
          <w:tcPr>
            <w:tcW w:w="523" w:type="dxa"/>
          </w:tcPr>
          <w:p w:rsidR="00AA2AB9" w:rsidRDefault="00B2170E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students with disabilities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safety plan statement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integrity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</w:tbl>
    <w:p w:rsidR="00C347A2" w:rsidRDefault="00C347A2" w:rsidP="00C347A2">
      <w:pPr>
        <w:pStyle w:val="ListParagraph"/>
        <w:ind w:left="1440"/>
      </w:pPr>
    </w:p>
    <w:p w:rsidR="00FF5495" w:rsidRDefault="00B2170E" w:rsidP="00C347A2">
      <w:pPr>
        <w:pStyle w:val="ListParagraph"/>
        <w:numPr>
          <w:ilvl w:val="0"/>
          <w:numId w:val="2"/>
        </w:numPr>
      </w:pPr>
      <w:r>
        <w:t xml:space="preserve">Assignments are presented in great detail and include the process for completion as well as a break down for scoring. There is some confusion between points </w:t>
      </w:r>
      <w:r w:rsidR="001F5CE2">
        <w:t>and percent in the final table, but it appears as though these are equivalent (e.g. each course point corresponds to a percent point for a total of 100)</w:t>
      </w:r>
    </w:p>
    <w:p w:rsidR="00F12CB4" w:rsidRPr="00F12CB4" w:rsidRDefault="00F12CB4" w:rsidP="00F12CB4">
      <w:pPr>
        <w:pStyle w:val="ListParagraph"/>
        <w:numPr>
          <w:ilvl w:val="0"/>
          <w:numId w:val="2"/>
        </w:numPr>
        <w:rPr>
          <w:b/>
        </w:rPr>
      </w:pPr>
      <w:r>
        <w:rPr>
          <w:lang w:val="en-US"/>
        </w:rPr>
        <w:t>The class presents itself as a seminar and shows a meeting place on the front page; however, the overwhelming majority of the course appears to be online. This is potentially misleading, and so the reviewers suggest a statement about the course structure in the course description so that students know what type of learning atmosphere this course offers.</w:t>
      </w:r>
    </w:p>
    <w:p w:rsidR="00F12CB4" w:rsidRPr="001F5CE2" w:rsidRDefault="00F12CB4" w:rsidP="00F12CB4">
      <w:pPr>
        <w:pStyle w:val="ListParagraph"/>
        <w:numPr>
          <w:ilvl w:val="0"/>
          <w:numId w:val="2"/>
        </w:numPr>
        <w:rPr>
          <w:b/>
        </w:rPr>
      </w:pPr>
      <w:r>
        <w:rPr>
          <w:lang w:val="en-US"/>
        </w:rPr>
        <w:lastRenderedPageBreak/>
        <w:t xml:space="preserve">The course requires an assignment/presentation on </w:t>
      </w:r>
      <w:proofErr w:type="spellStart"/>
      <w:r>
        <w:rPr>
          <w:lang w:val="en-US"/>
        </w:rPr>
        <w:t>Tegrity</w:t>
      </w:r>
      <w:proofErr w:type="spellEnd"/>
      <w:r>
        <w:rPr>
          <w:lang w:val="en-US"/>
        </w:rPr>
        <w:t xml:space="preserve">; thus, the reviewers suggest including links to the tutorials provided by WSU Online / Global Campus on how to use </w:t>
      </w:r>
      <w:proofErr w:type="spellStart"/>
      <w:r>
        <w:rPr>
          <w:lang w:val="en-US"/>
        </w:rPr>
        <w:t>Tegrity</w:t>
      </w:r>
      <w:proofErr w:type="spellEnd"/>
      <w:r>
        <w:rPr>
          <w:lang w:val="en-US"/>
        </w:rPr>
        <w:t>.</w:t>
      </w:r>
    </w:p>
    <w:p w:rsidR="00F12CB4" w:rsidRPr="00F12CB4" w:rsidRDefault="00F12CB4" w:rsidP="00C347A2">
      <w:pPr>
        <w:pStyle w:val="ListParagraph"/>
        <w:numPr>
          <w:ilvl w:val="0"/>
          <w:numId w:val="2"/>
        </w:numPr>
      </w:pPr>
      <w:r>
        <w:t xml:space="preserve">The Major Curriculum Change Form indicates </w:t>
      </w:r>
      <w:r>
        <w:rPr>
          <w:lang w:val="en-US"/>
        </w:rPr>
        <w:t xml:space="preserve">the course will be offered in </w:t>
      </w:r>
      <w:r>
        <w:rPr>
          <w:lang w:val="en-US"/>
        </w:rPr>
        <w:t xml:space="preserve">the </w:t>
      </w: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 xml:space="preserve"> of 2015, but the</w:t>
      </w:r>
      <w:r>
        <w:rPr>
          <w:lang w:val="en-US"/>
        </w:rPr>
        <w:t xml:space="preserve"> schedule is structured around the Spring term.</w:t>
      </w:r>
    </w:p>
    <w:p w:rsidR="00F12CB4" w:rsidRDefault="00F12CB4" w:rsidP="00C347A2">
      <w:pPr>
        <w:pStyle w:val="ListParagraph"/>
        <w:numPr>
          <w:ilvl w:val="0"/>
          <w:numId w:val="2"/>
        </w:numPr>
      </w:pPr>
      <w:r>
        <w:rPr>
          <w:lang w:val="en-US"/>
        </w:rPr>
        <w:t>The course is also structured around Angel as the primary learning method</w:t>
      </w:r>
      <w:r>
        <w:rPr>
          <w:lang w:val="en-US"/>
        </w:rPr>
        <w:t xml:space="preserve">. This should be changed to </w:t>
      </w:r>
      <w:r>
        <w:rPr>
          <w:lang w:val="en-US"/>
        </w:rPr>
        <w:t>Blackboard</w:t>
      </w:r>
      <w:r>
        <w:rPr>
          <w:lang w:val="en-US"/>
        </w:rPr>
        <w:t xml:space="preserve"> for </w:t>
      </w: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 xml:space="preserve"> 2015. There may be compatibility issues for using programs such as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Tegr</w:t>
      </w:r>
      <w:r>
        <w:rPr>
          <w:lang w:val="en-US"/>
        </w:rPr>
        <w:t>ity</w:t>
      </w:r>
      <w:proofErr w:type="spellEnd"/>
    </w:p>
    <w:p w:rsidR="00A02CD6" w:rsidRDefault="00AA2AB9" w:rsidP="00A02CD6">
      <w:pPr>
        <w:ind w:firstLine="720"/>
        <w:rPr>
          <w:b/>
        </w:rPr>
      </w:pPr>
      <w:r w:rsidRPr="00AA2AB9">
        <w:rPr>
          <w:b/>
        </w:rPr>
        <w:t>Reviewer’s Final Assessment</w:t>
      </w:r>
    </w:p>
    <w:p w:rsidR="004E55C1" w:rsidRPr="001F5CE2" w:rsidRDefault="00B2170E" w:rsidP="00A02CD6">
      <w:pPr>
        <w:pStyle w:val="ListParagraph"/>
        <w:numPr>
          <w:ilvl w:val="0"/>
          <w:numId w:val="4"/>
        </w:numPr>
        <w:rPr>
          <w:b/>
        </w:rPr>
      </w:pPr>
      <w:r>
        <w:t xml:space="preserve">The course is thoroughly detailed in regards to student and faculty expectations. </w:t>
      </w:r>
    </w:p>
    <w:p w:rsidR="001F5CE2" w:rsidRPr="00F12CB4" w:rsidRDefault="001F5CE2" w:rsidP="00A02CD6">
      <w:pPr>
        <w:pStyle w:val="ListParagraph"/>
        <w:numPr>
          <w:ilvl w:val="0"/>
          <w:numId w:val="4"/>
        </w:numPr>
        <w:rPr>
          <w:b/>
        </w:rPr>
      </w:pPr>
      <w:r>
        <w:t>The course appears to be well constructed</w:t>
      </w:r>
      <w:r w:rsidR="00F12CB4">
        <w:t>.</w:t>
      </w:r>
    </w:p>
    <w:p w:rsidR="00F12CB4" w:rsidRPr="00F12CB4" w:rsidRDefault="00F12CB4" w:rsidP="00A02CD6">
      <w:pPr>
        <w:pStyle w:val="ListParagraph"/>
        <w:numPr>
          <w:ilvl w:val="0"/>
          <w:numId w:val="4"/>
        </w:numPr>
        <w:rPr>
          <w:b/>
        </w:rPr>
      </w:pPr>
      <w:r>
        <w:t>The revisions mentioned</w:t>
      </w:r>
      <w:bookmarkStart w:id="0" w:name="_GoBack"/>
      <w:bookmarkEnd w:id="0"/>
      <w:r>
        <w:t xml:space="preserve"> above are minor and would be part of regular course updating.</w:t>
      </w:r>
    </w:p>
    <w:p w:rsidR="001F5CE2" w:rsidRPr="00A02CD6" w:rsidRDefault="001F5CE2" w:rsidP="00A02CD6">
      <w:pPr>
        <w:pStyle w:val="ListParagraph"/>
        <w:numPr>
          <w:ilvl w:val="0"/>
          <w:numId w:val="4"/>
        </w:numPr>
        <w:rPr>
          <w:b/>
        </w:rPr>
      </w:pPr>
      <w:r>
        <w:t>This course will contribute positively to the graduate student experience at WSU.</w:t>
      </w:r>
    </w:p>
    <w:p w:rsidR="00AA2AB9" w:rsidRDefault="00AA2AB9">
      <w:pPr>
        <w:rPr>
          <w:u w:val="single"/>
        </w:rPr>
      </w:pPr>
      <w:r>
        <w:rPr>
          <w:u w:val="single"/>
        </w:rPr>
        <w:t>The Motions</w:t>
      </w:r>
    </w:p>
    <w:p w:rsidR="00680E98" w:rsidRPr="00680E98" w:rsidRDefault="00680E98" w:rsidP="00680E98">
      <w:pPr>
        <w:pStyle w:val="ListParagraph"/>
        <w:numPr>
          <w:ilvl w:val="0"/>
          <w:numId w:val="4"/>
        </w:numPr>
        <w:rPr>
          <w:u w:val="single"/>
        </w:rPr>
      </w:pPr>
      <w:r>
        <w:t>We move</w:t>
      </w:r>
      <w:r w:rsidR="001F5CE2">
        <w:t xml:space="preserve"> to approve</w:t>
      </w:r>
      <w:r w:rsidR="00FF5495">
        <w:t xml:space="preserve"> </w:t>
      </w:r>
      <w:r w:rsidR="00B2170E">
        <w:t>NURS</w:t>
      </w:r>
      <w:r w:rsidR="001F5CE2">
        <w:t xml:space="preserve"> 596 as presented.</w:t>
      </w:r>
    </w:p>
    <w:sectPr w:rsidR="00680E98" w:rsidRPr="00680E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1D" w:rsidRDefault="00EE641D" w:rsidP="00AA2AB9">
      <w:pPr>
        <w:spacing w:after="0" w:line="240" w:lineRule="auto"/>
      </w:pPr>
      <w:r>
        <w:separator/>
      </w:r>
    </w:p>
  </w:endnote>
  <w:endnote w:type="continuationSeparator" w:id="0">
    <w:p w:rsidR="00EE641D" w:rsidRDefault="00EE641D" w:rsidP="00A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1D" w:rsidRDefault="00EE641D" w:rsidP="00AA2AB9">
      <w:pPr>
        <w:spacing w:after="0" w:line="240" w:lineRule="auto"/>
      </w:pPr>
      <w:r>
        <w:separator/>
      </w:r>
    </w:p>
  </w:footnote>
  <w:footnote w:type="continuationSeparator" w:id="0">
    <w:p w:rsidR="00EE641D" w:rsidRDefault="00EE641D" w:rsidP="00A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91"/>
      <w:gridCol w:w="2522"/>
      <w:gridCol w:w="2342"/>
      <w:gridCol w:w="2395"/>
    </w:tblGrid>
    <w:tr w:rsidR="00AA2AB9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:rsidR="00AA2AB9" w:rsidRDefault="005B0F59" w:rsidP="005B0F59">
          <w:pPr>
            <w:pStyle w:val="Header"/>
          </w:pPr>
          <w:r>
            <w:t>NURS</w:t>
          </w:r>
          <w:r w:rsidR="002A6DEE">
            <w:t xml:space="preserve"> 596</w:t>
          </w:r>
          <w:r w:rsidR="00AA2AB9">
            <w:t xml:space="preserve">: </w:t>
          </w:r>
          <w:r>
            <w:t>Theory and Science of Nursing II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Contact:</w:t>
          </w:r>
        </w:p>
      </w:tc>
      <w:tc>
        <w:tcPr>
          <w:tcW w:w="2416" w:type="dxa"/>
        </w:tcPr>
        <w:p w:rsidR="00AA2AB9" w:rsidRDefault="005B0F59" w:rsidP="00AA2AB9">
          <w:pPr>
            <w:pStyle w:val="Header"/>
          </w:pPr>
          <w:r>
            <w:t xml:space="preserve">Eileen </w:t>
          </w:r>
          <w:proofErr w:type="spellStart"/>
          <w:r>
            <w:t>Swalling</w:t>
          </w:r>
          <w:proofErr w:type="spellEnd"/>
        </w:p>
        <w:p w:rsidR="00AA2AB9" w:rsidRDefault="005B0F59" w:rsidP="00A50567">
          <w:pPr>
            <w:pStyle w:val="Header"/>
          </w:pPr>
          <w:r>
            <w:t>eswalling</w:t>
          </w:r>
          <w:r w:rsidR="002A6DEE">
            <w:t>@wsu.edu</w:t>
          </w:r>
        </w:p>
      </w:tc>
    </w:tr>
    <w:tr w:rsidR="00AA2AB9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Faculty Reviewer:</w:t>
          </w:r>
        </w:p>
      </w:tc>
      <w:tc>
        <w:tcPr>
          <w:tcW w:w="2600" w:type="dxa"/>
        </w:tcPr>
        <w:p w:rsidR="00AA2AB9" w:rsidRDefault="00AA2AB9" w:rsidP="00AA2AB9">
          <w:pPr>
            <w:pStyle w:val="Header"/>
          </w:pPr>
          <w:r>
            <w:t xml:space="preserve">Tom </w:t>
          </w:r>
          <w:proofErr w:type="spellStart"/>
          <w:r>
            <w:t>Salsbury</w:t>
          </w:r>
          <w:proofErr w:type="spellEnd"/>
        </w:p>
        <w:p w:rsidR="00A50567" w:rsidRDefault="005B0F59" w:rsidP="00AA2AB9">
          <w:pPr>
            <w:pStyle w:val="Header"/>
          </w:pPr>
          <w:r>
            <w:t>Chris Campbell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Review Date:</w:t>
          </w:r>
        </w:p>
      </w:tc>
      <w:tc>
        <w:tcPr>
          <w:tcW w:w="2416" w:type="dxa"/>
        </w:tcPr>
        <w:p w:rsidR="00AA2AB9" w:rsidRDefault="002A6DEE" w:rsidP="00AA2AB9">
          <w:pPr>
            <w:pStyle w:val="Header"/>
          </w:pPr>
          <w:r>
            <w:t>January 30, 2015</w:t>
          </w:r>
        </w:p>
      </w:tc>
    </w:tr>
  </w:tbl>
  <w:p w:rsidR="00AA2AB9" w:rsidRDefault="00AA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31B11"/>
    <w:multiLevelType w:val="hybridMultilevel"/>
    <w:tmpl w:val="117ACC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F75BCB"/>
    <w:multiLevelType w:val="hybridMultilevel"/>
    <w:tmpl w:val="A456E7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114DA6"/>
    <w:multiLevelType w:val="hybridMultilevel"/>
    <w:tmpl w:val="67AC9B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8276C1"/>
    <w:multiLevelType w:val="hybridMultilevel"/>
    <w:tmpl w:val="37065B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B"/>
    <w:rsid w:val="000A5236"/>
    <w:rsid w:val="000F6CBC"/>
    <w:rsid w:val="001F5CE2"/>
    <w:rsid w:val="0020201A"/>
    <w:rsid w:val="00246D5B"/>
    <w:rsid w:val="002A6DEE"/>
    <w:rsid w:val="002F12CB"/>
    <w:rsid w:val="003C37B0"/>
    <w:rsid w:val="004830A5"/>
    <w:rsid w:val="004B4420"/>
    <w:rsid w:val="004E55C1"/>
    <w:rsid w:val="005444EB"/>
    <w:rsid w:val="00575F01"/>
    <w:rsid w:val="005B0F59"/>
    <w:rsid w:val="00680E98"/>
    <w:rsid w:val="00773E48"/>
    <w:rsid w:val="007F26D0"/>
    <w:rsid w:val="00934005"/>
    <w:rsid w:val="00950F37"/>
    <w:rsid w:val="00987A8F"/>
    <w:rsid w:val="00A02CD6"/>
    <w:rsid w:val="00A450CE"/>
    <w:rsid w:val="00A50567"/>
    <w:rsid w:val="00AA2AB9"/>
    <w:rsid w:val="00AA4738"/>
    <w:rsid w:val="00B12258"/>
    <w:rsid w:val="00B2170E"/>
    <w:rsid w:val="00BF63E8"/>
    <w:rsid w:val="00C347A2"/>
    <w:rsid w:val="00CA23B9"/>
    <w:rsid w:val="00CC0280"/>
    <w:rsid w:val="00D07215"/>
    <w:rsid w:val="00D219E6"/>
    <w:rsid w:val="00D43190"/>
    <w:rsid w:val="00EA3AD1"/>
    <w:rsid w:val="00EE480A"/>
    <w:rsid w:val="00EE641D"/>
    <w:rsid w:val="00F12CB4"/>
    <w:rsid w:val="00F90D12"/>
    <w:rsid w:val="00FA777B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86944-A783-42AC-B372-A66C93DB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B9"/>
  </w:style>
  <w:style w:type="paragraph" w:styleId="Footer">
    <w:name w:val="footer"/>
    <w:basedOn w:val="Normal"/>
    <w:link w:val="Foot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B9"/>
  </w:style>
  <w:style w:type="table" w:styleId="TableGrid">
    <w:name w:val="Table Grid"/>
    <w:basedOn w:val="TableNormal"/>
    <w:uiPriority w:val="59"/>
    <w:rsid w:val="00AA2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A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Salsbury, Thomas Lee</dc:creator>
  <cp:keywords/>
  <dc:description/>
  <cp:lastModifiedBy>Salsbury, Thomas Lee</cp:lastModifiedBy>
  <cp:revision>4</cp:revision>
  <dcterms:created xsi:type="dcterms:W3CDTF">2015-01-31T00:31:00Z</dcterms:created>
  <dcterms:modified xsi:type="dcterms:W3CDTF">2015-02-02T22:20:00Z</dcterms:modified>
</cp:coreProperties>
</file>