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E" w:rsidRPr="00AA2AB9" w:rsidRDefault="00AA2AB9">
      <w:pPr>
        <w:rPr>
          <w:u w:val="single"/>
        </w:rPr>
      </w:pPr>
      <w:r w:rsidRPr="00AA2AB9">
        <w:rPr>
          <w:u w:val="single"/>
        </w:rPr>
        <w:t>Background</w:t>
      </w:r>
    </w:p>
    <w:p w:rsidR="00AA2AB9" w:rsidRDefault="00AA2AB9">
      <w:r>
        <w:t>The WSU Registrar received a Major Curricular Chan</w:t>
      </w:r>
      <w:r w:rsidR="000F6CBC">
        <w:t xml:space="preserve">ge </w:t>
      </w:r>
      <w:r w:rsidR="002A6DEE">
        <w:t xml:space="preserve">for a variable credit (1-4), new topics course </w:t>
      </w:r>
      <w:r w:rsidR="0020201A">
        <w:t>from the School of Biological Sciences</w:t>
      </w:r>
      <w:r w:rsidR="002A6DEE">
        <w:t>. The Major Curricular Change form was received on September 24, 2014.</w:t>
      </w:r>
    </w:p>
    <w:p w:rsidR="00AA2AB9" w:rsidRPr="00AA2AB9" w:rsidRDefault="00AA2AB9">
      <w:pPr>
        <w:rPr>
          <w:u w:val="single"/>
        </w:rPr>
      </w:pPr>
      <w:r w:rsidRPr="00AA2AB9">
        <w:rPr>
          <w:u w:val="single"/>
        </w:rPr>
        <w:t>Reviewer Comments</w:t>
      </w:r>
    </w:p>
    <w:p w:rsidR="00AA2AB9" w:rsidRDefault="00AA2AB9" w:rsidP="00AA2AB9">
      <w:pPr>
        <w:ind w:firstLine="720"/>
        <w:rPr>
          <w:b/>
        </w:rPr>
      </w:pPr>
      <w:r w:rsidRPr="00AA2AB9">
        <w:rPr>
          <w:b/>
        </w:rPr>
        <w:t>Rationale</w:t>
      </w:r>
    </w:p>
    <w:p w:rsidR="002A6DEE" w:rsidRPr="002A6DEE" w:rsidRDefault="002A6DEE" w:rsidP="0068424E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 w:rsidR="0020201A">
        <w:t>School of Biological Sciences</w:t>
      </w:r>
      <w:r>
        <w:t xml:space="preserve"> has identified a need to expand course offerings with specialized “topics” courses at the advanced level. </w:t>
      </w:r>
      <w:r w:rsidR="0020201A">
        <w:t>An advanced topics course in Biology would be</w:t>
      </w:r>
      <w:r>
        <w:t xml:space="preserve"> in line with</w:t>
      </w:r>
      <w:r w:rsidR="0020201A">
        <w:t xml:space="preserve"> course offerings in</w:t>
      </w:r>
      <w:r>
        <w:t xml:space="preserve"> other graduate programs such as Chemistry and Math.</w:t>
      </w:r>
    </w:p>
    <w:p w:rsidR="002A6DEE" w:rsidRPr="002A6DEE" w:rsidRDefault="0020201A" w:rsidP="0068424E">
      <w:pPr>
        <w:pStyle w:val="ListParagraph"/>
        <w:numPr>
          <w:ilvl w:val="0"/>
          <w:numId w:val="1"/>
        </w:numPr>
        <w:rPr>
          <w:b/>
        </w:rPr>
      </w:pPr>
      <w:r>
        <w:t>This topics course would likely attract students from other disciplines within the School of Biological Sciences as well as other Schools across campus.</w:t>
      </w:r>
    </w:p>
    <w:p w:rsidR="0020201A" w:rsidRPr="0020201A" w:rsidRDefault="0020201A" w:rsidP="0020201A">
      <w:pPr>
        <w:pStyle w:val="ListParagraph"/>
        <w:numPr>
          <w:ilvl w:val="0"/>
          <w:numId w:val="1"/>
        </w:numPr>
        <w:rPr>
          <w:b/>
        </w:rPr>
      </w:pPr>
      <w:r>
        <w:t xml:space="preserve">The course would be taught in a seminar style. </w:t>
      </w:r>
      <w:r w:rsidR="002A6DEE">
        <w:t>Students may take up to 9 credit hours of</w:t>
      </w:r>
      <w:r>
        <w:t xml:space="preserve"> topics course</w:t>
      </w:r>
      <w:r w:rsidR="00950F37">
        <w:t>s</w:t>
      </w:r>
      <w:r>
        <w:t>.</w:t>
      </w:r>
    </w:p>
    <w:p w:rsidR="00AA2AB9" w:rsidRDefault="00AA2AB9"/>
    <w:p w:rsidR="00AA2AB9" w:rsidRPr="00AA2AB9" w:rsidRDefault="00AA2AB9" w:rsidP="00AA2AB9">
      <w:pPr>
        <w:ind w:firstLine="720"/>
        <w:rPr>
          <w:b/>
        </w:rPr>
      </w:pPr>
      <w:r w:rsidRPr="00AA2AB9">
        <w:rPr>
          <w:b/>
        </w:rPr>
        <w:t>Syllabus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523"/>
      </w:tblGrid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52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523" w:type="dxa"/>
          </w:tcPr>
          <w:p w:rsidR="00AA2AB9" w:rsidRPr="00EA5072" w:rsidRDefault="00AA4738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523" w:type="dxa"/>
          </w:tcPr>
          <w:p w:rsidR="00AA2AB9" w:rsidRPr="00EA5072" w:rsidRDefault="00AA4738" w:rsidP="00B72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523" w:type="dxa"/>
          </w:tcPr>
          <w:p w:rsidR="00AA2AB9" w:rsidRDefault="004E55C1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:rsidR="00C347A2" w:rsidRDefault="00C347A2" w:rsidP="00C347A2">
      <w:pPr>
        <w:pStyle w:val="ListParagraph"/>
        <w:ind w:left="1440"/>
      </w:pPr>
    </w:p>
    <w:p w:rsidR="00A02CD6" w:rsidRDefault="0020201A" w:rsidP="00C347A2">
      <w:pPr>
        <w:pStyle w:val="ListParagraph"/>
        <w:numPr>
          <w:ilvl w:val="0"/>
          <w:numId w:val="2"/>
        </w:numPr>
      </w:pPr>
      <w:r>
        <w:t>The syllabus submitted for review is a kind of template for seminars in the program. We reviewed a topics seminar called “Advanced Readings in Nutritional Physiology”, which was a 1-credit seminar.</w:t>
      </w:r>
    </w:p>
    <w:p w:rsidR="00D07215" w:rsidRDefault="0020201A" w:rsidP="00D07215">
      <w:pPr>
        <w:pStyle w:val="ListParagraph"/>
        <w:numPr>
          <w:ilvl w:val="0"/>
          <w:numId w:val="2"/>
        </w:numPr>
      </w:pPr>
      <w:r>
        <w:t>Course readings consisted entirely of peer-reviewed journal articles available to students on the Angel system</w:t>
      </w:r>
      <w:r w:rsidR="00D07215">
        <w:t>. There are reference materials available to students to build requisite background knowledge on topics they are responsible for. The phrase “you are expected to have a solid understanding of nutritional concepts” is not explained. No pre-requisites are listed; thus, how do students know whether they have a solid understanding of material prior to class presentations?</w:t>
      </w:r>
    </w:p>
    <w:p w:rsidR="007F26D0" w:rsidRDefault="00D07215" w:rsidP="00C347A2">
      <w:pPr>
        <w:pStyle w:val="ListParagraph"/>
        <w:numPr>
          <w:ilvl w:val="0"/>
          <w:numId w:val="2"/>
        </w:numPr>
      </w:pPr>
      <w:r>
        <w:t xml:space="preserve">Attendance and general participation are 40% of the final grade. This is assessed on three levels: full, moderate and little. “Full” </w:t>
      </w:r>
      <w:bookmarkStart w:id="0" w:name="_GoBack"/>
      <w:r>
        <w:t>effort means that students complete all aspects of the assignment, select a paper “well in advance” of presenting it, and alerting seminar leaders in advance when missing a class. “Moderate” participation uses descriptors from “low” to “full”</w:t>
      </w:r>
      <w:r w:rsidR="00A450CE">
        <w:t>. A student who did not select a paper to present before presenting could receive a “moderate” participation grade. “Little” participation uses descriptors such as “sporadic”, “low”, “moderate”, and missing classes without notice.</w:t>
      </w:r>
    </w:p>
    <w:p w:rsidR="00A450CE" w:rsidRDefault="00A450CE" w:rsidP="00C347A2">
      <w:pPr>
        <w:pStyle w:val="ListParagraph"/>
        <w:numPr>
          <w:ilvl w:val="0"/>
          <w:numId w:val="2"/>
        </w:numPr>
      </w:pPr>
      <w:r>
        <w:t xml:space="preserve">“Discussion leader” is 25% of the final grade. There seems to be a lot of </w:t>
      </w:r>
      <w:bookmarkEnd w:id="0"/>
      <w:r>
        <w:t xml:space="preserve">overlap between this and the attendance/general participation grade. The description of the assignment is 2 sentences long and explains the frequency of the discussion leader role (at least once per semester) and the task of synthesizing student comments. </w:t>
      </w:r>
    </w:p>
    <w:p w:rsidR="00A450CE" w:rsidRDefault="00A450CE" w:rsidP="00C347A2">
      <w:pPr>
        <w:pStyle w:val="ListParagraph"/>
        <w:numPr>
          <w:ilvl w:val="0"/>
          <w:numId w:val="2"/>
        </w:numPr>
      </w:pPr>
      <w:r>
        <w:t>“Weekly discussion questions” are 10% of the grade. The task description is 2 sentences long. Students write 1-2 questions to bring to the seminar. This score will overlap with the attendance and general participation score.</w:t>
      </w:r>
    </w:p>
    <w:p w:rsidR="00A450CE" w:rsidRDefault="00A450CE" w:rsidP="00C347A2">
      <w:pPr>
        <w:pStyle w:val="ListParagraph"/>
        <w:numPr>
          <w:ilvl w:val="0"/>
          <w:numId w:val="2"/>
        </w:numPr>
      </w:pPr>
      <w:r>
        <w:t>A final take-home exam is 25% of the semester grade.</w:t>
      </w:r>
    </w:p>
    <w:p w:rsidR="00FF5495" w:rsidRDefault="00FF5495" w:rsidP="00C347A2">
      <w:pPr>
        <w:pStyle w:val="ListParagraph"/>
        <w:numPr>
          <w:ilvl w:val="0"/>
          <w:numId w:val="2"/>
        </w:numPr>
      </w:pPr>
      <w:r>
        <w:t>Student learning outcomes using the measurable action verbs “demonstrate”, “communicate”, “critically evaluate”, and “synthesize” are not really measured by the discussion/participation assessments.</w:t>
      </w:r>
    </w:p>
    <w:p w:rsidR="00A02CD6" w:rsidRDefault="00AA2AB9" w:rsidP="00A02CD6">
      <w:pPr>
        <w:ind w:firstLine="720"/>
        <w:rPr>
          <w:b/>
        </w:rPr>
      </w:pPr>
      <w:r w:rsidRPr="00AA2AB9">
        <w:rPr>
          <w:b/>
        </w:rPr>
        <w:lastRenderedPageBreak/>
        <w:t>Reviewer’s Final Assessment</w:t>
      </w:r>
    </w:p>
    <w:p w:rsidR="00A02CD6" w:rsidRPr="004E55C1" w:rsidRDefault="004E55C1" w:rsidP="00A02CD6">
      <w:pPr>
        <w:pStyle w:val="ListParagraph"/>
        <w:numPr>
          <w:ilvl w:val="0"/>
          <w:numId w:val="4"/>
        </w:numPr>
        <w:rPr>
          <w:b/>
        </w:rPr>
      </w:pPr>
      <w:r>
        <w:t>This is a 1-credit, seminar-style course. The course outline contains topics only, which is probably appropriate for a 1-credit, seminar-style course. The grading in this seminar-style course is problematic because it is based overwhelmingly on attendance and participation. There is much overlap between attendance/participation and student roles in discussions. Thus, 75% of the grade is linked to attendance, effort and participation. Is this appropriate for a graduate-level seminar? A student could easily know the material well and yet fail the course, or know little about the material and get an “A” in the course.</w:t>
      </w:r>
    </w:p>
    <w:p w:rsidR="004E55C1" w:rsidRPr="00A02CD6" w:rsidRDefault="00FF5495" w:rsidP="00A02CD6">
      <w:pPr>
        <w:pStyle w:val="ListParagraph"/>
        <w:numPr>
          <w:ilvl w:val="0"/>
          <w:numId w:val="4"/>
        </w:numPr>
        <w:rPr>
          <w:b/>
        </w:rPr>
      </w:pPr>
      <w:r>
        <w:t>Students may take up to 9 credits of the special topics courses. Courses are variable 1-4 credits. The reviewed syllabus was a 1-credit course. Would any of the topics courses be 3 or 4 credits? What would the course requirements and student products look like in a 2-, 3- or 4-credit course?</w:t>
      </w:r>
    </w:p>
    <w:p w:rsidR="00AA2AB9" w:rsidRDefault="00AA2AB9">
      <w:pPr>
        <w:rPr>
          <w:u w:val="single"/>
        </w:rPr>
      </w:pPr>
      <w:r>
        <w:rPr>
          <w:u w:val="single"/>
        </w:rPr>
        <w:t>The Motions</w:t>
      </w:r>
    </w:p>
    <w:p w:rsidR="00680E98" w:rsidRPr="00680E98" w:rsidRDefault="00680E98" w:rsidP="00680E9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We move </w:t>
      </w:r>
      <w:r w:rsidR="00FF5495">
        <w:t>that BIO 596 be revised</w:t>
      </w:r>
      <w:r w:rsidR="00FA777B">
        <w:t xml:space="preserve"> such that s</w:t>
      </w:r>
      <w:r w:rsidR="00FF5495">
        <w:t>tudent learning ou</w:t>
      </w:r>
      <w:r w:rsidR="00950F37">
        <w:t>tcomes are</w:t>
      </w:r>
      <w:r w:rsidR="00FF5495">
        <w:t xml:space="preserve"> assessed more rigorously beyond discussion and participation</w:t>
      </w:r>
      <w:r w:rsidR="00FA777B">
        <w:t>.</w:t>
      </w:r>
    </w:p>
    <w:sectPr w:rsidR="00680E98" w:rsidRPr="00680E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58" w:rsidRDefault="00B12258" w:rsidP="00AA2AB9">
      <w:pPr>
        <w:spacing w:after="0" w:line="240" w:lineRule="auto"/>
      </w:pPr>
      <w:r>
        <w:separator/>
      </w:r>
    </w:p>
  </w:endnote>
  <w:endnote w:type="continuationSeparator" w:id="0">
    <w:p w:rsidR="00B12258" w:rsidRDefault="00B12258" w:rsidP="00A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58" w:rsidRDefault="00B12258" w:rsidP="00AA2AB9">
      <w:pPr>
        <w:spacing w:after="0" w:line="240" w:lineRule="auto"/>
      </w:pPr>
      <w:r>
        <w:separator/>
      </w:r>
    </w:p>
  </w:footnote>
  <w:footnote w:type="continuationSeparator" w:id="0">
    <w:p w:rsidR="00B12258" w:rsidRDefault="00B12258" w:rsidP="00A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94"/>
      <w:gridCol w:w="2531"/>
      <w:gridCol w:w="2346"/>
      <w:gridCol w:w="2379"/>
    </w:tblGrid>
    <w:tr w:rsidR="00AA2AB9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AA2AB9" w:rsidRDefault="002A6DEE" w:rsidP="002A6DEE">
          <w:pPr>
            <w:pStyle w:val="Header"/>
          </w:pPr>
          <w:r>
            <w:t>BIO 596</w:t>
          </w:r>
          <w:r w:rsidR="00AA2AB9">
            <w:t xml:space="preserve">: </w:t>
          </w:r>
          <w:r>
            <w:t>Advanced Topics in Physiology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Contact:</w:t>
          </w:r>
        </w:p>
      </w:tc>
      <w:tc>
        <w:tcPr>
          <w:tcW w:w="2416" w:type="dxa"/>
        </w:tcPr>
        <w:p w:rsidR="00AA2AB9" w:rsidRDefault="002A6DEE" w:rsidP="00AA2AB9">
          <w:pPr>
            <w:pStyle w:val="Header"/>
          </w:pPr>
          <w:r>
            <w:t>Justine Rupp</w:t>
          </w:r>
        </w:p>
        <w:p w:rsidR="00AA2AB9" w:rsidRDefault="002A6DEE" w:rsidP="00A50567">
          <w:pPr>
            <w:pStyle w:val="Header"/>
          </w:pPr>
          <w:r>
            <w:t>ruppj@wsu.edu</w:t>
          </w:r>
        </w:p>
      </w:tc>
    </w:tr>
    <w:tr w:rsidR="00AA2AB9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AA2AB9" w:rsidRDefault="00AA2AB9" w:rsidP="00AA2AB9">
          <w:pPr>
            <w:pStyle w:val="Header"/>
          </w:pPr>
          <w:r>
            <w:t>Tom Salsbury</w:t>
          </w:r>
        </w:p>
        <w:p w:rsidR="00A50567" w:rsidRDefault="002A6DEE" w:rsidP="00AA2AB9">
          <w:pPr>
            <w:pStyle w:val="Header"/>
          </w:pPr>
          <w:r>
            <w:t>Lincoln James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AA2AB9" w:rsidRDefault="002A6DEE" w:rsidP="00AA2AB9">
          <w:pPr>
            <w:pStyle w:val="Header"/>
          </w:pPr>
          <w:r>
            <w:t>January 30, 2015</w:t>
          </w:r>
        </w:p>
      </w:tc>
    </w:tr>
  </w:tbl>
  <w:p w:rsidR="00AA2AB9" w:rsidRDefault="00A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31B11"/>
    <w:multiLevelType w:val="hybridMultilevel"/>
    <w:tmpl w:val="117AC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F75BCB"/>
    <w:multiLevelType w:val="hybridMultilevel"/>
    <w:tmpl w:val="A456E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14DA6"/>
    <w:multiLevelType w:val="hybridMultilevel"/>
    <w:tmpl w:val="67AC9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276C1"/>
    <w:multiLevelType w:val="hybridMultilevel"/>
    <w:tmpl w:val="37065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A5236"/>
    <w:rsid w:val="000F6CBC"/>
    <w:rsid w:val="0020201A"/>
    <w:rsid w:val="00246D5B"/>
    <w:rsid w:val="002A6DEE"/>
    <w:rsid w:val="002F12CB"/>
    <w:rsid w:val="004830A5"/>
    <w:rsid w:val="004B4420"/>
    <w:rsid w:val="004E55C1"/>
    <w:rsid w:val="005444EB"/>
    <w:rsid w:val="00575F01"/>
    <w:rsid w:val="0065290C"/>
    <w:rsid w:val="00680E98"/>
    <w:rsid w:val="007F26D0"/>
    <w:rsid w:val="00934005"/>
    <w:rsid w:val="00950F37"/>
    <w:rsid w:val="00A02CD6"/>
    <w:rsid w:val="00A450CE"/>
    <w:rsid w:val="00A50567"/>
    <w:rsid w:val="00AA2AB9"/>
    <w:rsid w:val="00AA4738"/>
    <w:rsid w:val="00B12258"/>
    <w:rsid w:val="00BF63E8"/>
    <w:rsid w:val="00C347A2"/>
    <w:rsid w:val="00CC0280"/>
    <w:rsid w:val="00D07215"/>
    <w:rsid w:val="00D219E6"/>
    <w:rsid w:val="00D43190"/>
    <w:rsid w:val="00EA3AD1"/>
    <w:rsid w:val="00EE480A"/>
    <w:rsid w:val="00F90D12"/>
    <w:rsid w:val="00FA777B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86944-A783-42AC-B372-A66C93D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B9"/>
  </w:style>
  <w:style w:type="paragraph" w:styleId="Footer">
    <w:name w:val="footer"/>
    <w:basedOn w:val="Normal"/>
    <w:link w:val="Foot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B9"/>
  </w:style>
  <w:style w:type="table" w:styleId="TableGrid">
    <w:name w:val="Table Grid"/>
    <w:basedOn w:val="TableNormal"/>
    <w:uiPriority w:val="59"/>
    <w:rsid w:val="00AA2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Rarig, Anastasia Jensein</cp:lastModifiedBy>
  <cp:revision>2</cp:revision>
  <dcterms:created xsi:type="dcterms:W3CDTF">2015-02-03T17:58:00Z</dcterms:created>
  <dcterms:modified xsi:type="dcterms:W3CDTF">2015-02-03T17:58:00Z</dcterms:modified>
</cp:coreProperties>
</file>