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A4" w:rsidRPr="00AA2AB9" w:rsidRDefault="00AA2AB9">
      <w:pPr>
        <w:rPr>
          <w:u w:val="single"/>
        </w:rPr>
      </w:pPr>
      <w:r w:rsidRPr="00AA2AB9">
        <w:rPr>
          <w:u w:val="single"/>
        </w:rPr>
        <w:t>Background</w:t>
      </w:r>
    </w:p>
    <w:p w:rsidR="00614F4F" w:rsidRDefault="00614F4F">
      <w:r>
        <w:t xml:space="preserve">Revise existing 4-credit course to remove 1-credit lab section = 3 credit course (w/ 3-0 lecture to lab ratio).  Classroom portion (PLP 521) will continue to be taught in </w:t>
      </w:r>
      <w:proofErr w:type="gramStart"/>
      <w:r w:rsidR="00CD00A4">
        <w:t>Fall</w:t>
      </w:r>
      <w:proofErr w:type="gramEnd"/>
      <w:r w:rsidR="00CD00A4">
        <w:t xml:space="preserve"> of </w:t>
      </w:r>
      <w:r>
        <w:t xml:space="preserve">odd-numbered year.  </w:t>
      </w:r>
    </w:p>
    <w:p w:rsidR="00614F4F" w:rsidRPr="00614F4F" w:rsidRDefault="00614F4F">
      <w:proofErr w:type="spellStart"/>
      <w:r>
        <w:t>Dept</w:t>
      </w:r>
      <w:proofErr w:type="spellEnd"/>
      <w:r>
        <w:t xml:space="preserve"> desires to deliver course though AMS (and in person, on Pullman campus), to make it more accessible to graduate students at one of four Research and Extension Centers around the state (Mt. Vernon, Prosser, Puyallup, Wenatchee).  It is common for PLP students to maintain residency in Pullman for a limited time, making it difficult to complete the lab-based course requirement.  Lab component for this (and other related courses) will be taught as a 3-credit course delivered yearly on Pullman campus.  </w:t>
      </w:r>
    </w:p>
    <w:p w:rsidR="00AA2AB9" w:rsidRPr="00AA2AB9" w:rsidRDefault="00AA2AB9">
      <w:pPr>
        <w:rPr>
          <w:u w:val="single"/>
        </w:rPr>
      </w:pPr>
      <w:r w:rsidRPr="00AA2AB9">
        <w:rPr>
          <w:u w:val="single"/>
        </w:rPr>
        <w:t>Reviewer Comments</w:t>
      </w:r>
    </w:p>
    <w:p w:rsidR="00AA2AB9" w:rsidRPr="00AA2AB9" w:rsidRDefault="00AA2AB9" w:rsidP="0083698A">
      <w:pPr>
        <w:rPr>
          <w:b/>
        </w:rPr>
      </w:pPr>
      <w:r w:rsidRPr="00AA2AB9">
        <w:rPr>
          <w:b/>
        </w:rPr>
        <w:t>Syllabus</w:t>
      </w:r>
    </w:p>
    <w:tbl>
      <w:tblPr>
        <w:tblStyle w:val="TableGrid"/>
        <w:tblW w:w="0" w:type="auto"/>
        <w:tblInd w:w="-5" w:type="dxa"/>
        <w:tblLook w:val="04A0" w:firstRow="1" w:lastRow="0" w:firstColumn="1" w:lastColumn="0" w:noHBand="0" w:noVBand="1"/>
      </w:tblPr>
      <w:tblGrid>
        <w:gridCol w:w="1080"/>
        <w:gridCol w:w="3420"/>
        <w:gridCol w:w="754"/>
        <w:gridCol w:w="4101"/>
      </w:tblGrid>
      <w:tr w:rsidR="0083698A" w:rsidTr="006B2507">
        <w:tc>
          <w:tcPr>
            <w:tcW w:w="1080" w:type="dxa"/>
          </w:tcPr>
          <w:p w:rsidR="0083698A" w:rsidRPr="00EA5072" w:rsidRDefault="0083698A" w:rsidP="0083698A">
            <w:pPr>
              <w:jc w:val="both"/>
              <w:rPr>
                <w:rFonts w:ascii="Times New Roman" w:hAnsi="Times New Roman" w:cs="Times New Roman"/>
              </w:rPr>
            </w:pPr>
            <w:r>
              <w:rPr>
                <w:rFonts w:ascii="Times New Roman" w:hAnsi="Times New Roman" w:cs="Times New Roman"/>
              </w:rPr>
              <w:t>Topic</w:t>
            </w:r>
          </w:p>
        </w:tc>
        <w:tc>
          <w:tcPr>
            <w:tcW w:w="3420" w:type="dxa"/>
          </w:tcPr>
          <w:p w:rsidR="0083698A" w:rsidRPr="00EA5072" w:rsidRDefault="0083698A" w:rsidP="0083698A">
            <w:pPr>
              <w:jc w:val="both"/>
              <w:rPr>
                <w:rFonts w:ascii="Times New Roman" w:hAnsi="Times New Roman" w:cs="Times New Roman"/>
              </w:rPr>
            </w:pPr>
            <w:r>
              <w:rPr>
                <w:rFonts w:ascii="Times New Roman" w:hAnsi="Times New Roman" w:cs="Times New Roman"/>
              </w:rPr>
              <w:t>Content</w:t>
            </w:r>
          </w:p>
        </w:tc>
        <w:tc>
          <w:tcPr>
            <w:tcW w:w="754" w:type="dxa"/>
          </w:tcPr>
          <w:p w:rsidR="0083698A" w:rsidRPr="00EA5072" w:rsidRDefault="0083698A" w:rsidP="0083698A">
            <w:pPr>
              <w:jc w:val="both"/>
              <w:rPr>
                <w:rFonts w:ascii="Times New Roman" w:hAnsi="Times New Roman" w:cs="Times New Roman"/>
              </w:rPr>
            </w:pPr>
            <w:r>
              <w:rPr>
                <w:rFonts w:ascii="Times New Roman" w:hAnsi="Times New Roman" w:cs="Times New Roman"/>
              </w:rPr>
              <w:t>Status</w:t>
            </w:r>
          </w:p>
        </w:tc>
        <w:tc>
          <w:tcPr>
            <w:tcW w:w="4101" w:type="dxa"/>
          </w:tcPr>
          <w:p w:rsidR="0083698A" w:rsidRPr="00EA5072" w:rsidRDefault="0083698A" w:rsidP="0083698A">
            <w:pPr>
              <w:jc w:val="both"/>
              <w:rPr>
                <w:rFonts w:ascii="Times New Roman" w:hAnsi="Times New Roman" w:cs="Times New Roman"/>
              </w:rPr>
            </w:pPr>
            <w:r>
              <w:rPr>
                <w:rFonts w:ascii="Times New Roman" w:hAnsi="Times New Roman" w:cs="Times New Roman"/>
              </w:rPr>
              <w:t>Comments</w:t>
            </w:r>
          </w:p>
        </w:tc>
      </w:tr>
      <w:tr w:rsidR="0083698A" w:rsidTr="006B2507">
        <w:tc>
          <w:tcPr>
            <w:tcW w:w="1080" w:type="dxa"/>
            <w:vMerge w:val="restart"/>
          </w:tcPr>
          <w:p w:rsidR="0083698A" w:rsidRPr="00EA5072" w:rsidRDefault="0083698A" w:rsidP="0083698A">
            <w:pPr>
              <w:jc w:val="both"/>
              <w:rPr>
                <w:rFonts w:ascii="Times New Roman" w:hAnsi="Times New Roman" w:cs="Times New Roman"/>
              </w:rPr>
            </w:pPr>
            <w:r>
              <w:rPr>
                <w:rFonts w:ascii="Times New Roman" w:hAnsi="Times New Roman" w:cs="Times New Roman"/>
              </w:rPr>
              <w:t>Logistics</w:t>
            </w:r>
          </w:p>
        </w:tc>
        <w:tc>
          <w:tcPr>
            <w:tcW w:w="3420" w:type="dxa"/>
          </w:tcPr>
          <w:p w:rsidR="0083698A" w:rsidRPr="00EA5072" w:rsidRDefault="0083698A" w:rsidP="006B2507">
            <w:pPr>
              <w:rPr>
                <w:rFonts w:ascii="Times New Roman" w:hAnsi="Times New Roman" w:cs="Times New Roman"/>
              </w:rPr>
            </w:pPr>
            <w:r>
              <w:rPr>
                <w:rFonts w:ascii="Times New Roman" w:hAnsi="Times New Roman" w:cs="Times New Roman"/>
              </w:rPr>
              <w:t>Instructor contact information</w:t>
            </w:r>
          </w:p>
        </w:tc>
        <w:tc>
          <w:tcPr>
            <w:tcW w:w="754" w:type="dxa"/>
          </w:tcPr>
          <w:p w:rsidR="0083698A" w:rsidRPr="00EA5072"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Pr="00EA5072" w:rsidRDefault="0083698A" w:rsidP="006B2507">
            <w:pPr>
              <w:rPr>
                <w:rFonts w:ascii="Times New Roman" w:hAnsi="Times New Roman" w:cs="Times New Roman"/>
              </w:rPr>
            </w:pPr>
          </w:p>
        </w:tc>
      </w:tr>
      <w:tr w:rsidR="0083698A" w:rsidTr="006B2507">
        <w:tc>
          <w:tcPr>
            <w:tcW w:w="1080" w:type="dxa"/>
            <w:vMerge/>
          </w:tcPr>
          <w:p w:rsidR="0083698A" w:rsidRPr="00EA5072" w:rsidRDefault="0083698A" w:rsidP="0083698A">
            <w:pPr>
              <w:jc w:val="both"/>
              <w:rPr>
                <w:rFonts w:ascii="Times New Roman" w:hAnsi="Times New Roman" w:cs="Times New Roman"/>
              </w:rPr>
            </w:pPr>
          </w:p>
        </w:tc>
        <w:tc>
          <w:tcPr>
            <w:tcW w:w="3420" w:type="dxa"/>
          </w:tcPr>
          <w:p w:rsidR="0083698A" w:rsidRPr="00EA5072" w:rsidRDefault="0083698A" w:rsidP="006B2507">
            <w:pPr>
              <w:rPr>
                <w:rFonts w:ascii="Times New Roman" w:hAnsi="Times New Roman" w:cs="Times New Roman"/>
              </w:rPr>
            </w:pPr>
            <w:r>
              <w:rPr>
                <w:rFonts w:ascii="Times New Roman" w:hAnsi="Times New Roman" w:cs="Times New Roman"/>
              </w:rPr>
              <w:t>Course Prefix and number, title, number of credits, pre-requisites</w:t>
            </w:r>
          </w:p>
        </w:tc>
        <w:tc>
          <w:tcPr>
            <w:tcW w:w="754" w:type="dxa"/>
          </w:tcPr>
          <w:p w:rsidR="0083698A" w:rsidRPr="00EA5072" w:rsidRDefault="00586383" w:rsidP="006B2507">
            <w:pPr>
              <w:rPr>
                <w:rFonts w:ascii="Times New Roman" w:hAnsi="Times New Roman" w:cs="Times New Roman"/>
              </w:rPr>
            </w:pPr>
            <w:r>
              <w:rPr>
                <w:rFonts w:ascii="Times New Roman" w:hAnsi="Times New Roman" w:cs="Times New Roman"/>
              </w:rPr>
              <w:t>X</w:t>
            </w:r>
          </w:p>
        </w:tc>
        <w:tc>
          <w:tcPr>
            <w:tcW w:w="4101" w:type="dxa"/>
          </w:tcPr>
          <w:p w:rsidR="0083698A" w:rsidRPr="00EA5072" w:rsidRDefault="0083698A" w:rsidP="006B2507">
            <w:pPr>
              <w:rPr>
                <w:rFonts w:ascii="Times New Roman" w:hAnsi="Times New Roman" w:cs="Times New Roman"/>
              </w:rPr>
            </w:pPr>
          </w:p>
        </w:tc>
      </w:tr>
      <w:tr w:rsidR="0083698A" w:rsidTr="006B2507">
        <w:tc>
          <w:tcPr>
            <w:tcW w:w="1080" w:type="dxa"/>
            <w:vMerge/>
          </w:tcPr>
          <w:p w:rsidR="0083698A" w:rsidRPr="00EA5072"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Meeting schedules and times and building/rooms</w:t>
            </w:r>
          </w:p>
        </w:tc>
        <w:tc>
          <w:tcPr>
            <w:tcW w:w="754" w:type="dxa"/>
          </w:tcPr>
          <w:p w:rsidR="0083698A" w:rsidRPr="00EA5072" w:rsidRDefault="006B2507" w:rsidP="006B2507">
            <w:pPr>
              <w:rPr>
                <w:rFonts w:ascii="Times New Roman" w:hAnsi="Times New Roman" w:cs="Times New Roman"/>
                <w:b/>
              </w:rPr>
            </w:pPr>
            <w:r>
              <w:rPr>
                <w:rFonts w:ascii="Times New Roman" w:hAnsi="Times New Roman" w:cs="Times New Roman"/>
                <w:b/>
              </w:rPr>
              <w:t>X</w:t>
            </w:r>
          </w:p>
        </w:tc>
        <w:tc>
          <w:tcPr>
            <w:tcW w:w="4101" w:type="dxa"/>
          </w:tcPr>
          <w:p w:rsidR="0083698A" w:rsidRPr="00EA5072" w:rsidRDefault="0083698A" w:rsidP="006B2507">
            <w:pPr>
              <w:rPr>
                <w:rFonts w:ascii="Times New Roman" w:hAnsi="Times New Roman" w:cs="Times New Roman"/>
                <w:b/>
              </w:rPr>
            </w:pPr>
          </w:p>
        </w:tc>
      </w:tr>
      <w:tr w:rsidR="0083698A" w:rsidTr="006B2507">
        <w:tc>
          <w:tcPr>
            <w:tcW w:w="1080" w:type="dxa"/>
            <w:vMerge/>
          </w:tcPr>
          <w:p w:rsidR="0083698A" w:rsidRPr="00EA5072"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List of required and recommended reading materials</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val="restart"/>
          </w:tcPr>
          <w:p w:rsidR="0083698A" w:rsidRDefault="0083698A" w:rsidP="0083698A">
            <w:pPr>
              <w:jc w:val="both"/>
              <w:rPr>
                <w:rFonts w:ascii="Times New Roman" w:hAnsi="Times New Roman" w:cs="Times New Roman"/>
              </w:rPr>
            </w:pPr>
            <w:r>
              <w:rPr>
                <w:rFonts w:ascii="Times New Roman" w:hAnsi="Times New Roman" w:cs="Times New Roman"/>
              </w:rPr>
              <w:t>Content</w:t>
            </w:r>
          </w:p>
        </w:tc>
        <w:tc>
          <w:tcPr>
            <w:tcW w:w="3420" w:type="dxa"/>
          </w:tcPr>
          <w:p w:rsidR="0083698A" w:rsidRDefault="0083698A" w:rsidP="006B2507">
            <w:pPr>
              <w:rPr>
                <w:rFonts w:ascii="Times New Roman" w:hAnsi="Times New Roman" w:cs="Times New Roman"/>
              </w:rPr>
            </w:pPr>
            <w:r>
              <w:rPr>
                <w:rFonts w:ascii="Times New Roman" w:hAnsi="Times New Roman" w:cs="Times New Roman"/>
              </w:rPr>
              <w:t>Student learning outcomes and method for assessing</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Week to week course outline</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Descriptions of required assignments</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val="restart"/>
          </w:tcPr>
          <w:p w:rsidR="0083698A" w:rsidRDefault="0083698A" w:rsidP="0083698A">
            <w:pPr>
              <w:jc w:val="both"/>
              <w:rPr>
                <w:rFonts w:ascii="Times New Roman" w:hAnsi="Times New Roman" w:cs="Times New Roman"/>
              </w:rPr>
            </w:pPr>
            <w:r>
              <w:rPr>
                <w:rFonts w:ascii="Times New Roman" w:hAnsi="Times New Roman" w:cs="Times New Roman"/>
              </w:rPr>
              <w:t>Grading</w:t>
            </w:r>
          </w:p>
        </w:tc>
        <w:tc>
          <w:tcPr>
            <w:tcW w:w="3420" w:type="dxa"/>
          </w:tcPr>
          <w:p w:rsidR="0083698A" w:rsidRDefault="0083698A" w:rsidP="006B2507">
            <w:pPr>
              <w:rPr>
                <w:rFonts w:ascii="Times New Roman" w:hAnsi="Times New Roman" w:cs="Times New Roman"/>
              </w:rPr>
            </w:pPr>
            <w:r>
              <w:rPr>
                <w:rFonts w:ascii="Times New Roman" w:hAnsi="Times New Roman" w:cs="Times New Roman"/>
              </w:rPr>
              <w:t>Relative weighting of required assignments</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CD00A4" w:rsidP="006B2507">
            <w:pPr>
              <w:rPr>
                <w:rFonts w:ascii="Times New Roman" w:hAnsi="Times New Roman" w:cs="Times New Roman"/>
              </w:rPr>
            </w:pPr>
            <w:r>
              <w:rPr>
                <w:rFonts w:ascii="Times New Roman" w:hAnsi="Times New Roman" w:cs="Times New Roman"/>
              </w:rPr>
              <w:t>**Individual performance is counted for 60% of grade, but comprises ~70% of</w:t>
            </w:r>
            <w:r w:rsidR="00F42B33">
              <w:rPr>
                <w:rFonts w:ascii="Times New Roman" w:hAnsi="Times New Roman" w:cs="Times New Roman"/>
              </w:rPr>
              <w:t xml:space="preserve"> total</w:t>
            </w:r>
            <w:r>
              <w:rPr>
                <w:rFonts w:ascii="Times New Roman" w:hAnsi="Times New Roman" w:cs="Times New Roman"/>
              </w:rPr>
              <w:t xml:space="preserve"> points?</w:t>
            </w:r>
          </w:p>
          <w:p w:rsidR="00F42B33" w:rsidRDefault="00CD00A4" w:rsidP="006B2507">
            <w:pPr>
              <w:rPr>
                <w:rFonts w:ascii="Times New Roman" w:hAnsi="Times New Roman" w:cs="Times New Roman"/>
              </w:rPr>
            </w:pPr>
            <w:r>
              <w:rPr>
                <w:rFonts w:ascii="Times New Roman" w:hAnsi="Times New Roman" w:cs="Times New Roman"/>
              </w:rPr>
              <w:t>**What about +/- grades?  Must instructors use these?</w:t>
            </w: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Penalties for late assignments</w:t>
            </w:r>
          </w:p>
        </w:tc>
        <w:tc>
          <w:tcPr>
            <w:tcW w:w="754" w:type="dxa"/>
          </w:tcPr>
          <w:p w:rsidR="0083698A" w:rsidRDefault="00BA4E07" w:rsidP="006B2507">
            <w:pPr>
              <w:rPr>
                <w:rFonts w:ascii="Times New Roman" w:hAnsi="Times New Roman" w:cs="Times New Roman"/>
              </w:rPr>
            </w:pPr>
            <w:r>
              <w:rPr>
                <w:rFonts w:ascii="Times New Roman" w:hAnsi="Times New Roman" w:cs="Times New Roman"/>
              </w:rPr>
              <w:t>X</w:t>
            </w:r>
          </w:p>
        </w:tc>
        <w:tc>
          <w:tcPr>
            <w:tcW w:w="4101" w:type="dxa"/>
          </w:tcPr>
          <w:p w:rsidR="0083698A" w:rsidRDefault="00790731" w:rsidP="00790731">
            <w:pPr>
              <w:rPr>
                <w:rFonts w:ascii="Times New Roman" w:hAnsi="Times New Roman" w:cs="Times New Roman"/>
              </w:rPr>
            </w:pPr>
            <w:r>
              <w:rPr>
                <w:rFonts w:ascii="Times New Roman" w:hAnsi="Times New Roman" w:cs="Times New Roman"/>
              </w:rPr>
              <w:t>Late assignments not accepted.</w:t>
            </w: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Grading criteria</w:t>
            </w:r>
          </w:p>
        </w:tc>
        <w:tc>
          <w:tcPr>
            <w:tcW w:w="754" w:type="dxa"/>
          </w:tcPr>
          <w:p w:rsidR="0083698A" w:rsidRDefault="0084681C"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Composition of midterm and final grades</w:t>
            </w:r>
          </w:p>
        </w:tc>
        <w:tc>
          <w:tcPr>
            <w:tcW w:w="754" w:type="dxa"/>
          </w:tcPr>
          <w:p w:rsidR="0083698A" w:rsidRDefault="00BA4E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Attendance or participation policies</w:t>
            </w:r>
          </w:p>
        </w:tc>
        <w:tc>
          <w:tcPr>
            <w:tcW w:w="754" w:type="dxa"/>
          </w:tcPr>
          <w:p w:rsidR="0083698A" w:rsidRDefault="0084681C" w:rsidP="006B2507">
            <w:pPr>
              <w:rPr>
                <w:rFonts w:ascii="Times New Roman" w:hAnsi="Times New Roman" w:cs="Times New Roman"/>
              </w:rPr>
            </w:pPr>
            <w:r>
              <w:rPr>
                <w:rFonts w:ascii="Times New Roman" w:hAnsi="Times New Roman" w:cs="Times New Roman"/>
              </w:rPr>
              <w:t>X</w:t>
            </w:r>
          </w:p>
        </w:tc>
        <w:tc>
          <w:tcPr>
            <w:tcW w:w="4101" w:type="dxa"/>
          </w:tcPr>
          <w:p w:rsidR="00BA4E07" w:rsidRDefault="00BA4E07" w:rsidP="006B2507">
            <w:pPr>
              <w:rPr>
                <w:rFonts w:ascii="Times New Roman" w:hAnsi="Times New Roman" w:cs="Times New Roman"/>
              </w:rPr>
            </w:pPr>
          </w:p>
        </w:tc>
      </w:tr>
      <w:tr w:rsidR="0083698A" w:rsidTr="006B2507">
        <w:tc>
          <w:tcPr>
            <w:tcW w:w="1080" w:type="dxa"/>
            <w:vMerge w:val="restart"/>
          </w:tcPr>
          <w:p w:rsidR="0083698A" w:rsidRDefault="0083698A" w:rsidP="0083698A">
            <w:pPr>
              <w:jc w:val="both"/>
              <w:rPr>
                <w:rFonts w:ascii="Times New Roman" w:hAnsi="Times New Roman" w:cs="Times New Roman"/>
              </w:rPr>
            </w:pPr>
            <w:r>
              <w:rPr>
                <w:rFonts w:ascii="Times New Roman" w:hAnsi="Times New Roman" w:cs="Times New Roman"/>
              </w:rPr>
              <w:t>Policy</w:t>
            </w:r>
          </w:p>
        </w:tc>
        <w:tc>
          <w:tcPr>
            <w:tcW w:w="3420" w:type="dxa"/>
          </w:tcPr>
          <w:p w:rsidR="0083698A" w:rsidRDefault="0083698A" w:rsidP="006B2507">
            <w:pPr>
              <w:rPr>
                <w:rFonts w:ascii="Times New Roman" w:hAnsi="Times New Roman" w:cs="Times New Roman"/>
              </w:rPr>
            </w:pPr>
            <w:r>
              <w:rPr>
                <w:rFonts w:ascii="Times New Roman" w:hAnsi="Times New Roman" w:cs="Times New Roman"/>
              </w:rPr>
              <w:t>Accommodating students with disabilities</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Campus safety plan statement</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r w:rsidR="0083698A" w:rsidTr="006B2507">
        <w:tc>
          <w:tcPr>
            <w:tcW w:w="1080" w:type="dxa"/>
            <w:vMerge/>
          </w:tcPr>
          <w:p w:rsidR="0083698A" w:rsidRDefault="0083698A" w:rsidP="0083698A">
            <w:pPr>
              <w:jc w:val="both"/>
              <w:rPr>
                <w:rFonts w:ascii="Times New Roman" w:hAnsi="Times New Roman" w:cs="Times New Roman"/>
              </w:rPr>
            </w:pPr>
          </w:p>
        </w:tc>
        <w:tc>
          <w:tcPr>
            <w:tcW w:w="3420" w:type="dxa"/>
          </w:tcPr>
          <w:p w:rsidR="0083698A" w:rsidRDefault="0083698A" w:rsidP="006B2507">
            <w:pPr>
              <w:rPr>
                <w:rFonts w:ascii="Times New Roman" w:hAnsi="Times New Roman" w:cs="Times New Roman"/>
              </w:rPr>
            </w:pPr>
            <w:r>
              <w:rPr>
                <w:rFonts w:ascii="Times New Roman" w:hAnsi="Times New Roman" w:cs="Times New Roman"/>
              </w:rPr>
              <w:t>Academic integrity</w:t>
            </w:r>
          </w:p>
        </w:tc>
        <w:tc>
          <w:tcPr>
            <w:tcW w:w="754" w:type="dxa"/>
          </w:tcPr>
          <w:p w:rsidR="0083698A" w:rsidRDefault="006B2507" w:rsidP="006B2507">
            <w:pPr>
              <w:rPr>
                <w:rFonts w:ascii="Times New Roman" w:hAnsi="Times New Roman" w:cs="Times New Roman"/>
              </w:rPr>
            </w:pPr>
            <w:r>
              <w:rPr>
                <w:rFonts w:ascii="Times New Roman" w:hAnsi="Times New Roman" w:cs="Times New Roman"/>
              </w:rPr>
              <w:t>X</w:t>
            </w:r>
          </w:p>
        </w:tc>
        <w:tc>
          <w:tcPr>
            <w:tcW w:w="4101" w:type="dxa"/>
          </w:tcPr>
          <w:p w:rsidR="0083698A" w:rsidRDefault="0083698A" w:rsidP="006B2507">
            <w:pPr>
              <w:rPr>
                <w:rFonts w:ascii="Times New Roman" w:hAnsi="Times New Roman" w:cs="Times New Roman"/>
              </w:rPr>
            </w:pPr>
          </w:p>
        </w:tc>
      </w:tr>
    </w:tbl>
    <w:p w:rsidR="006B2507" w:rsidRDefault="006B2507" w:rsidP="00642DC1">
      <w:pPr>
        <w:rPr>
          <w:b/>
        </w:rPr>
      </w:pPr>
      <w:r>
        <w:rPr>
          <w:b/>
        </w:rPr>
        <w:t xml:space="preserve">Comments: </w:t>
      </w:r>
    </w:p>
    <w:p w:rsidR="00CD00A4" w:rsidRDefault="00CD00A4" w:rsidP="00642DC1">
      <w:r>
        <w:t>Are “case studies” the same as “team specimen collection? (</w:t>
      </w:r>
      <w:proofErr w:type="spellStart"/>
      <w:r>
        <w:t>pg</w:t>
      </w:r>
      <w:proofErr w:type="spellEnd"/>
      <w:r>
        <w:t xml:space="preserve"> 6, determination of final grades)</w:t>
      </w:r>
    </w:p>
    <w:p w:rsidR="00CD00A4" w:rsidRDefault="00CD00A4" w:rsidP="00642DC1">
      <w:r>
        <w:lastRenderedPageBreak/>
        <w:t>Grading:  is the use of +/- required as part of WSU grading scale, or do instructors have the liberty to NOT use +/- (i.e., only A, B, C, etc.)?</w:t>
      </w:r>
    </w:p>
    <w:p w:rsidR="00CD00A4" w:rsidRPr="00CD00A4" w:rsidRDefault="00CD00A4" w:rsidP="00642DC1">
      <w:r>
        <w:t>Determination of Final Grade: The weighting factor is confusing because the Individually-scored components comprise 68% of the total available points (375/550), but are weighted to be 60% of the total.  The team portion (40%) is weighted by peer evaluations – but it is not clear what the instructor will do if team members’ reports are discrepant.  As well, peer evaluations can strongly influence 40% of the grade, far beyond the 10 points (out of 550) would intimate.  (i.e., it modifies the proportion of 175 points earned such that if someone does A- work, a 90%, they will los</w:t>
      </w:r>
      <w:r w:rsidR="00F42B33">
        <w:t xml:space="preserve">e 17.5 points out of the 175. </w:t>
      </w:r>
    </w:p>
    <w:p w:rsidR="00A02CD6" w:rsidRDefault="00AA2AB9" w:rsidP="00642DC1">
      <w:pPr>
        <w:rPr>
          <w:b/>
        </w:rPr>
      </w:pPr>
      <w:r w:rsidRPr="00642DC1">
        <w:rPr>
          <w:b/>
        </w:rPr>
        <w:t>Reviewer’s Final Assessment</w:t>
      </w:r>
    </w:p>
    <w:p w:rsidR="00AA2AB9" w:rsidRDefault="00AA2AB9">
      <w:pPr>
        <w:rPr>
          <w:u w:val="single"/>
        </w:rPr>
      </w:pPr>
      <w:r>
        <w:rPr>
          <w:u w:val="single"/>
        </w:rPr>
        <w:t>The Motions</w:t>
      </w:r>
    </w:p>
    <w:p w:rsidR="00680E98" w:rsidRPr="0063765B" w:rsidRDefault="0063765B" w:rsidP="0063765B">
      <w:r>
        <w:t>Move to approve this course</w:t>
      </w:r>
      <w:bookmarkStart w:id="0" w:name="_GoBack"/>
      <w:bookmarkEnd w:id="0"/>
    </w:p>
    <w:sectPr w:rsidR="00680E98" w:rsidRPr="0063765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EC" w:rsidRDefault="00210AEC" w:rsidP="00AA2AB9">
      <w:pPr>
        <w:spacing w:after="0" w:line="240" w:lineRule="auto"/>
      </w:pPr>
      <w:r>
        <w:separator/>
      </w:r>
    </w:p>
  </w:endnote>
  <w:endnote w:type="continuationSeparator" w:id="0">
    <w:p w:rsidR="00210AEC" w:rsidRDefault="00210AEC" w:rsidP="00AA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90451"/>
      <w:docPartObj>
        <w:docPartGallery w:val="Page Numbers (Bottom of Page)"/>
        <w:docPartUnique/>
      </w:docPartObj>
    </w:sdtPr>
    <w:sdtEndPr>
      <w:rPr>
        <w:noProof/>
      </w:rPr>
    </w:sdtEndPr>
    <w:sdtContent>
      <w:p w:rsidR="00CD00A4" w:rsidRDefault="00CD00A4">
        <w:pPr>
          <w:pStyle w:val="Footer"/>
          <w:jc w:val="right"/>
        </w:pPr>
        <w:r>
          <w:fldChar w:fldCharType="begin"/>
        </w:r>
        <w:r>
          <w:instrText xml:space="preserve"> PAGE   \* MERGEFORMAT </w:instrText>
        </w:r>
        <w:r>
          <w:fldChar w:fldCharType="separate"/>
        </w:r>
        <w:r w:rsidR="0063765B">
          <w:rPr>
            <w:noProof/>
          </w:rPr>
          <w:t>1</w:t>
        </w:r>
        <w:r>
          <w:rPr>
            <w:noProof/>
          </w:rPr>
          <w:fldChar w:fldCharType="end"/>
        </w:r>
      </w:p>
    </w:sdtContent>
  </w:sdt>
  <w:p w:rsidR="00CD00A4" w:rsidRDefault="00CD0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EC" w:rsidRDefault="00210AEC" w:rsidP="00AA2AB9">
      <w:pPr>
        <w:spacing w:after="0" w:line="240" w:lineRule="auto"/>
      </w:pPr>
      <w:r>
        <w:separator/>
      </w:r>
    </w:p>
  </w:footnote>
  <w:footnote w:type="continuationSeparator" w:id="0">
    <w:p w:rsidR="00210AEC" w:rsidRDefault="00210AEC" w:rsidP="00AA2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098"/>
      <w:gridCol w:w="2541"/>
      <w:gridCol w:w="2351"/>
      <w:gridCol w:w="2360"/>
    </w:tblGrid>
    <w:tr w:rsidR="00CD00A4" w:rsidTr="00CD00A4">
      <w:tc>
        <w:tcPr>
          <w:tcW w:w="2144" w:type="dxa"/>
          <w:shd w:val="clear" w:color="auto" w:fill="D9D9D9" w:themeFill="background1" w:themeFillShade="D9"/>
        </w:tcPr>
        <w:p w:rsidR="00CD00A4" w:rsidRDefault="00CD00A4" w:rsidP="00AA2AB9">
          <w:pPr>
            <w:pStyle w:val="Header"/>
          </w:pPr>
          <w:r>
            <w:t>Course Review:</w:t>
          </w:r>
        </w:p>
      </w:tc>
      <w:tc>
        <w:tcPr>
          <w:tcW w:w="2600" w:type="dxa"/>
        </w:tcPr>
        <w:p w:rsidR="00CD00A4" w:rsidRDefault="00CD00A4" w:rsidP="00E1332B">
          <w:pPr>
            <w:pStyle w:val="Header"/>
          </w:pPr>
          <w:r>
            <w:t>PLP 521</w:t>
          </w:r>
        </w:p>
        <w:p w:rsidR="00CD00A4" w:rsidRDefault="00CD00A4" w:rsidP="00E1332B">
          <w:pPr>
            <w:pStyle w:val="Header"/>
          </w:pPr>
        </w:p>
      </w:tc>
      <w:tc>
        <w:tcPr>
          <w:tcW w:w="2416" w:type="dxa"/>
          <w:shd w:val="clear" w:color="auto" w:fill="D9D9D9" w:themeFill="background1" w:themeFillShade="D9"/>
        </w:tcPr>
        <w:p w:rsidR="00CD00A4" w:rsidRDefault="00CD00A4" w:rsidP="00AA2AB9">
          <w:pPr>
            <w:pStyle w:val="Header"/>
          </w:pPr>
          <w:r>
            <w:t>Contact:</w:t>
          </w:r>
        </w:p>
      </w:tc>
      <w:tc>
        <w:tcPr>
          <w:tcW w:w="2416" w:type="dxa"/>
        </w:tcPr>
        <w:p w:rsidR="00CD00A4" w:rsidRDefault="00CD00A4" w:rsidP="00A50567">
          <w:pPr>
            <w:pStyle w:val="Header"/>
          </w:pPr>
          <w:r>
            <w:t>Scot Hulbert (Lori Carris, Instructor)</w:t>
          </w:r>
        </w:p>
      </w:tc>
    </w:tr>
    <w:tr w:rsidR="00CD00A4" w:rsidTr="00CD00A4">
      <w:tc>
        <w:tcPr>
          <w:tcW w:w="2144" w:type="dxa"/>
          <w:shd w:val="clear" w:color="auto" w:fill="D9D9D9" w:themeFill="background1" w:themeFillShade="D9"/>
        </w:tcPr>
        <w:p w:rsidR="00CD00A4" w:rsidRDefault="00CD00A4" w:rsidP="00AA2AB9">
          <w:pPr>
            <w:pStyle w:val="Header"/>
          </w:pPr>
          <w:r>
            <w:t>Faculty Reviewer:</w:t>
          </w:r>
        </w:p>
      </w:tc>
      <w:tc>
        <w:tcPr>
          <w:tcW w:w="2600" w:type="dxa"/>
        </w:tcPr>
        <w:p w:rsidR="00CD00A4" w:rsidRDefault="00CD00A4" w:rsidP="00AA2AB9">
          <w:pPr>
            <w:pStyle w:val="Header"/>
          </w:pPr>
          <w:r>
            <w:t>Schwartz (primary)</w:t>
          </w:r>
        </w:p>
        <w:p w:rsidR="00F42B33" w:rsidRDefault="00F42B33" w:rsidP="00AA2AB9">
          <w:pPr>
            <w:pStyle w:val="Header"/>
          </w:pPr>
          <w:proofErr w:type="spellStart"/>
          <w:r>
            <w:t>Dhingra</w:t>
          </w:r>
          <w:proofErr w:type="spellEnd"/>
          <w:r>
            <w:t xml:space="preserve"> (secondary)</w:t>
          </w:r>
        </w:p>
        <w:p w:rsidR="00CD00A4" w:rsidRDefault="00CD00A4" w:rsidP="00AA2AB9">
          <w:pPr>
            <w:pStyle w:val="Header"/>
          </w:pPr>
        </w:p>
        <w:p w:rsidR="00CD00A4" w:rsidRDefault="00CD00A4" w:rsidP="00AA2AB9">
          <w:pPr>
            <w:pStyle w:val="Header"/>
          </w:pPr>
        </w:p>
      </w:tc>
      <w:tc>
        <w:tcPr>
          <w:tcW w:w="2416" w:type="dxa"/>
          <w:shd w:val="clear" w:color="auto" w:fill="D9D9D9" w:themeFill="background1" w:themeFillShade="D9"/>
        </w:tcPr>
        <w:p w:rsidR="00CD00A4" w:rsidRDefault="00CD00A4" w:rsidP="00AA2AB9">
          <w:pPr>
            <w:pStyle w:val="Header"/>
          </w:pPr>
          <w:r>
            <w:t>Review Date:</w:t>
          </w:r>
        </w:p>
      </w:tc>
      <w:tc>
        <w:tcPr>
          <w:tcW w:w="2416" w:type="dxa"/>
        </w:tcPr>
        <w:p w:rsidR="00CD00A4" w:rsidRDefault="00CD00A4" w:rsidP="00BA4E07">
          <w:pPr>
            <w:pStyle w:val="Header"/>
          </w:pPr>
          <w:r>
            <w:t>11/10/15</w:t>
          </w:r>
        </w:p>
      </w:tc>
    </w:tr>
  </w:tbl>
  <w:p w:rsidR="00CD00A4" w:rsidRDefault="00CD0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070E2"/>
    <w:multiLevelType w:val="hybridMultilevel"/>
    <w:tmpl w:val="E01E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31B11"/>
    <w:multiLevelType w:val="hybridMultilevel"/>
    <w:tmpl w:val="117ACC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FE427C3"/>
    <w:multiLevelType w:val="hybridMultilevel"/>
    <w:tmpl w:val="54327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0F75BCB"/>
    <w:multiLevelType w:val="hybridMultilevel"/>
    <w:tmpl w:val="A456E7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C114DA6"/>
    <w:multiLevelType w:val="hybridMultilevel"/>
    <w:tmpl w:val="67AC9B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E8276C1"/>
    <w:multiLevelType w:val="hybridMultilevel"/>
    <w:tmpl w:val="37065B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F0C7C76"/>
    <w:multiLevelType w:val="hybridMultilevel"/>
    <w:tmpl w:val="43B86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FF14A2"/>
    <w:multiLevelType w:val="hybridMultilevel"/>
    <w:tmpl w:val="7CD0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B"/>
    <w:rsid w:val="000A5236"/>
    <w:rsid w:val="000F6210"/>
    <w:rsid w:val="000F6CBC"/>
    <w:rsid w:val="001C1E89"/>
    <w:rsid w:val="001F5CE2"/>
    <w:rsid w:val="0020201A"/>
    <w:rsid w:val="002020A9"/>
    <w:rsid w:val="00210AEC"/>
    <w:rsid w:val="00246D5B"/>
    <w:rsid w:val="0027090F"/>
    <w:rsid w:val="002A6DEE"/>
    <w:rsid w:val="002F12CB"/>
    <w:rsid w:val="003848EB"/>
    <w:rsid w:val="003C33A2"/>
    <w:rsid w:val="003C37B0"/>
    <w:rsid w:val="003C7C38"/>
    <w:rsid w:val="004769F3"/>
    <w:rsid w:val="004830A5"/>
    <w:rsid w:val="00486BC5"/>
    <w:rsid w:val="004B4420"/>
    <w:rsid w:val="004E55C1"/>
    <w:rsid w:val="004F10B9"/>
    <w:rsid w:val="005444EB"/>
    <w:rsid w:val="00575F01"/>
    <w:rsid w:val="00586383"/>
    <w:rsid w:val="00594B34"/>
    <w:rsid w:val="005B0F59"/>
    <w:rsid w:val="005D77C2"/>
    <w:rsid w:val="00614F4F"/>
    <w:rsid w:val="0063765B"/>
    <w:rsid w:val="00642DC1"/>
    <w:rsid w:val="006744EF"/>
    <w:rsid w:val="00680E98"/>
    <w:rsid w:val="006B2507"/>
    <w:rsid w:val="00773E48"/>
    <w:rsid w:val="00790731"/>
    <w:rsid w:val="007E7274"/>
    <w:rsid w:val="007F26D0"/>
    <w:rsid w:val="0083698A"/>
    <w:rsid w:val="0084681C"/>
    <w:rsid w:val="00850944"/>
    <w:rsid w:val="00893C28"/>
    <w:rsid w:val="008A0B68"/>
    <w:rsid w:val="00915450"/>
    <w:rsid w:val="00934005"/>
    <w:rsid w:val="00950F37"/>
    <w:rsid w:val="00987A8F"/>
    <w:rsid w:val="00A02CD6"/>
    <w:rsid w:val="00A10841"/>
    <w:rsid w:val="00A4309B"/>
    <w:rsid w:val="00A450CE"/>
    <w:rsid w:val="00A50567"/>
    <w:rsid w:val="00AA2AB9"/>
    <w:rsid w:val="00AA4738"/>
    <w:rsid w:val="00AC7977"/>
    <w:rsid w:val="00AE24C5"/>
    <w:rsid w:val="00B12258"/>
    <w:rsid w:val="00B2170E"/>
    <w:rsid w:val="00BA4E07"/>
    <w:rsid w:val="00BF63E8"/>
    <w:rsid w:val="00C0367F"/>
    <w:rsid w:val="00C05DB9"/>
    <w:rsid w:val="00C347A2"/>
    <w:rsid w:val="00CA23B9"/>
    <w:rsid w:val="00CB1A93"/>
    <w:rsid w:val="00CC0280"/>
    <w:rsid w:val="00CD00A4"/>
    <w:rsid w:val="00D07215"/>
    <w:rsid w:val="00D219E6"/>
    <w:rsid w:val="00D43190"/>
    <w:rsid w:val="00E1332B"/>
    <w:rsid w:val="00EA3AD1"/>
    <w:rsid w:val="00EC2FE7"/>
    <w:rsid w:val="00EC5291"/>
    <w:rsid w:val="00EE480A"/>
    <w:rsid w:val="00EE641D"/>
    <w:rsid w:val="00F12CB4"/>
    <w:rsid w:val="00F42B33"/>
    <w:rsid w:val="00F90D12"/>
    <w:rsid w:val="00FA777B"/>
    <w:rsid w:val="00FF5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86944-A783-42AC-B372-A66C93DB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AB9"/>
  </w:style>
  <w:style w:type="paragraph" w:styleId="Footer">
    <w:name w:val="footer"/>
    <w:basedOn w:val="Normal"/>
    <w:link w:val="FooterChar"/>
    <w:uiPriority w:val="99"/>
    <w:unhideWhenUsed/>
    <w:rsid w:val="00AA2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AB9"/>
  </w:style>
  <w:style w:type="table" w:styleId="TableGrid">
    <w:name w:val="Table Grid"/>
    <w:basedOn w:val="TableNormal"/>
    <w:uiPriority w:val="59"/>
    <w:rsid w:val="00AA2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AB9"/>
    <w:rPr>
      <w:color w:val="0563C1" w:themeColor="hyperlink"/>
      <w:u w:val="single"/>
    </w:rPr>
  </w:style>
  <w:style w:type="paragraph" w:styleId="ListParagraph">
    <w:name w:val="List Paragraph"/>
    <w:basedOn w:val="Normal"/>
    <w:uiPriority w:val="34"/>
    <w:qFormat/>
    <w:rsid w:val="004B4420"/>
    <w:pPr>
      <w:ind w:left="720"/>
      <w:contextualSpacing/>
    </w:pPr>
  </w:style>
  <w:style w:type="paragraph" w:styleId="NormalWeb">
    <w:name w:val="Normal (Web)"/>
    <w:basedOn w:val="Normal"/>
    <w:uiPriority w:val="99"/>
    <w:semiHidden/>
    <w:unhideWhenUsed/>
    <w:rsid w:val="004769F3"/>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Schwartz, Jennifer</cp:lastModifiedBy>
  <cp:revision>4</cp:revision>
  <dcterms:created xsi:type="dcterms:W3CDTF">2015-11-04T01:32:00Z</dcterms:created>
  <dcterms:modified xsi:type="dcterms:W3CDTF">2015-12-01T16:38:00Z</dcterms:modified>
</cp:coreProperties>
</file>