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CE" w:rsidRPr="00AA2AB9" w:rsidRDefault="00AA2AB9">
      <w:pPr>
        <w:rPr>
          <w:u w:val="single"/>
        </w:rPr>
      </w:pPr>
      <w:r w:rsidRPr="00AA2AB9">
        <w:rPr>
          <w:u w:val="single"/>
        </w:rPr>
        <w:t>Background</w:t>
      </w:r>
    </w:p>
    <w:p w:rsidR="00AA2AB9" w:rsidRDefault="00AA2AB9">
      <w:r>
        <w:t>The WSU Registrar received a Major Curricular Chan</w:t>
      </w:r>
      <w:r w:rsidR="000F6CBC">
        <w:t xml:space="preserve">ge </w:t>
      </w:r>
      <w:r w:rsidR="002A6DEE">
        <w:t>for a variable credit (1-</w:t>
      </w:r>
      <w:r w:rsidR="004A0E05">
        <w:t>3</w:t>
      </w:r>
      <w:r w:rsidR="002A6DEE">
        <w:t xml:space="preserve">), new </w:t>
      </w:r>
      <w:r w:rsidR="004A0E05">
        <w:t xml:space="preserve">special </w:t>
      </w:r>
      <w:r w:rsidR="002A6DEE">
        <w:t xml:space="preserve">topics course </w:t>
      </w:r>
      <w:r w:rsidR="0020201A">
        <w:t xml:space="preserve">from the </w:t>
      </w:r>
      <w:r w:rsidR="004A0E05">
        <w:t xml:space="preserve">Department of Plant Pathology. </w:t>
      </w:r>
      <w:r w:rsidR="002A6DEE">
        <w:t>The Major Curricular Change form was received on September 2</w:t>
      </w:r>
      <w:r w:rsidR="004A0E05">
        <w:t>9</w:t>
      </w:r>
      <w:r w:rsidR="002A6DEE">
        <w:t>, 2014.</w:t>
      </w:r>
    </w:p>
    <w:p w:rsidR="00AA2AB9" w:rsidRPr="00AA2AB9" w:rsidRDefault="00AA2AB9">
      <w:pPr>
        <w:rPr>
          <w:u w:val="single"/>
        </w:rPr>
      </w:pPr>
      <w:r w:rsidRPr="00AA2AB9">
        <w:rPr>
          <w:u w:val="single"/>
        </w:rPr>
        <w:t>Reviewer Comments</w:t>
      </w:r>
    </w:p>
    <w:p w:rsidR="00AA2AB9" w:rsidRDefault="00AA2AB9" w:rsidP="00AA2AB9">
      <w:pPr>
        <w:ind w:firstLine="720"/>
        <w:rPr>
          <w:b/>
        </w:rPr>
      </w:pPr>
      <w:r w:rsidRPr="00AA2AB9">
        <w:rPr>
          <w:b/>
        </w:rPr>
        <w:t>Rationale</w:t>
      </w:r>
    </w:p>
    <w:p w:rsidR="002A6DEE" w:rsidRPr="00F941E6" w:rsidRDefault="002A6DEE" w:rsidP="0068424E">
      <w:pPr>
        <w:pStyle w:val="ListParagraph"/>
        <w:numPr>
          <w:ilvl w:val="0"/>
          <w:numId w:val="1"/>
        </w:numPr>
        <w:rPr>
          <w:b/>
        </w:rPr>
      </w:pPr>
      <w:r>
        <w:t xml:space="preserve">The </w:t>
      </w:r>
      <w:r w:rsidR="004A0E05">
        <w:t>Department of Plant Pathology would like to address cutting-edge research on various topics related to plant pathology. This course would allow the department flexibility to cover timely topics and test whether graduate demand exists to teach a course more regularly.</w:t>
      </w:r>
    </w:p>
    <w:p w:rsidR="00F941E6" w:rsidRPr="00F941E6" w:rsidRDefault="00F941E6" w:rsidP="00F941E6">
      <w:pPr>
        <w:pStyle w:val="ListParagraph"/>
        <w:numPr>
          <w:ilvl w:val="0"/>
          <w:numId w:val="1"/>
        </w:numPr>
        <w:rPr>
          <w:b/>
        </w:rPr>
      </w:pPr>
      <w:r>
        <w:t>The course will be taught on an ad hoc basis, when “Plant Pathology faculty members…need to teach a course to fulfill the academic obligations of his/her appointment.”  This suggests that an underlying reason to add this course is for faculty members to fulfill their appointment, rather than to further the needs of a graduate education.  This special topics course might be offered during even-year Fall semesters, when graduate course elective offerings tend to be fewer.</w:t>
      </w:r>
      <w:r>
        <w:t xml:space="preserve"> This rationale is more convincing.</w:t>
      </w:r>
    </w:p>
    <w:p w:rsidR="00F941E6" w:rsidRPr="00F941E6" w:rsidRDefault="00F941E6" w:rsidP="00F941E6">
      <w:pPr>
        <w:pStyle w:val="ListParagraph"/>
        <w:numPr>
          <w:ilvl w:val="0"/>
          <w:numId w:val="1"/>
        </w:numPr>
      </w:pPr>
      <w:r>
        <w:t xml:space="preserve">Adjuncts with graduate faculty status may volunteer to teach the course.  A temporary instructor may be hired if permanent faculty are not available and funding is available.  It is not clear from the rationale if this temporary instructor would have graduate-faculty status.  It is not ideal to have temporary (adjunct) faculty responsible for graduate education.  </w:t>
      </w:r>
    </w:p>
    <w:p w:rsidR="0020201A" w:rsidRPr="00F941E6" w:rsidRDefault="0020201A" w:rsidP="0020201A">
      <w:pPr>
        <w:pStyle w:val="ListParagraph"/>
        <w:numPr>
          <w:ilvl w:val="0"/>
          <w:numId w:val="1"/>
        </w:numPr>
        <w:rPr>
          <w:b/>
        </w:rPr>
      </w:pPr>
      <w:r>
        <w:t xml:space="preserve">The course would be taught in a </w:t>
      </w:r>
      <w:r w:rsidR="004A0E05">
        <w:t>peer-led discussion</w:t>
      </w:r>
      <w:r>
        <w:t xml:space="preserve"> style. </w:t>
      </w:r>
      <w:r w:rsidR="004A0E05">
        <w:t>The instructor w</w:t>
      </w:r>
      <w:r w:rsidR="00C721A2">
        <w:t>ould</w:t>
      </w:r>
      <w:r w:rsidR="004A0E05">
        <w:t xml:space="preserve"> lecture the first few weeks; </w:t>
      </w:r>
      <w:r w:rsidR="00C721A2">
        <w:t>in subsequent weeks,</w:t>
      </w:r>
      <w:r w:rsidR="004A0E05">
        <w:t xml:space="preserve"> students will make a brief presentation and then lead discussion of an article.  </w:t>
      </w:r>
      <w:r w:rsidR="002A6DEE">
        <w:t xml:space="preserve">Students may take up to </w:t>
      </w:r>
      <w:r w:rsidR="004A0E05">
        <w:t>6</w:t>
      </w:r>
      <w:r w:rsidR="002A6DEE">
        <w:t xml:space="preserve"> credit hours of</w:t>
      </w:r>
      <w:r>
        <w:t xml:space="preserve"> </w:t>
      </w:r>
      <w:r w:rsidR="004A0E05">
        <w:t xml:space="preserve">special </w:t>
      </w:r>
      <w:r>
        <w:t>topics course</w:t>
      </w:r>
      <w:r w:rsidR="00950F37">
        <w:t>s</w:t>
      </w:r>
      <w:r>
        <w:t>.</w:t>
      </w:r>
    </w:p>
    <w:p w:rsidR="00F941E6" w:rsidRDefault="00F941E6" w:rsidP="00F941E6">
      <w:pPr>
        <w:pStyle w:val="ListParagraph"/>
        <w:numPr>
          <w:ilvl w:val="0"/>
          <w:numId w:val="1"/>
        </w:numPr>
        <w:spacing w:after="0" w:line="240" w:lineRule="auto"/>
        <w:contextualSpacing w:val="0"/>
      </w:pPr>
      <w:r>
        <w:t>Neither the sample syllabus nor the rationale provides a distinction of how the single credit hour variations of the course are different from the two and three credit hour variations, apart from the contact hours in the classroom. Are the students who take a single credit variation of this course evaluated the same way (two exams, one paper presentation, and participation in discussions)?</w:t>
      </w:r>
      <w:r>
        <w:t xml:space="preserve">  </w:t>
      </w:r>
    </w:p>
    <w:p w:rsidR="00F941E6" w:rsidRDefault="00F941E6" w:rsidP="00F941E6">
      <w:pPr>
        <w:pStyle w:val="ListParagraph"/>
        <w:spacing w:after="0" w:line="240" w:lineRule="auto"/>
        <w:ind w:left="1440"/>
        <w:contextualSpacing w:val="0"/>
      </w:pPr>
    </w:p>
    <w:p w:rsidR="00F941E6" w:rsidRDefault="00F941E6" w:rsidP="00F941E6">
      <w:pPr>
        <w:pStyle w:val="ListParagraph"/>
        <w:spacing w:after="0" w:line="240" w:lineRule="auto"/>
        <w:ind w:left="1440"/>
        <w:contextualSpacing w:val="0"/>
      </w:pPr>
    </w:p>
    <w:p w:rsidR="00F941E6" w:rsidRDefault="00F941E6" w:rsidP="00F941E6">
      <w:pPr>
        <w:pStyle w:val="ListParagraph"/>
        <w:spacing w:after="0" w:line="240" w:lineRule="auto"/>
        <w:ind w:left="1440"/>
        <w:contextualSpacing w:val="0"/>
      </w:pPr>
    </w:p>
    <w:p w:rsidR="00F941E6" w:rsidRDefault="00F941E6" w:rsidP="00F941E6">
      <w:pPr>
        <w:pStyle w:val="ListParagraph"/>
        <w:spacing w:after="0" w:line="240" w:lineRule="auto"/>
        <w:ind w:left="1440"/>
        <w:contextualSpacing w:val="0"/>
      </w:pPr>
    </w:p>
    <w:p w:rsidR="00F941E6" w:rsidRDefault="00F941E6" w:rsidP="00F941E6">
      <w:pPr>
        <w:pStyle w:val="ListParagraph"/>
        <w:spacing w:after="0" w:line="240" w:lineRule="auto"/>
        <w:ind w:left="1440"/>
        <w:contextualSpacing w:val="0"/>
      </w:pPr>
    </w:p>
    <w:p w:rsidR="00F941E6" w:rsidRDefault="00F941E6" w:rsidP="00F941E6">
      <w:pPr>
        <w:pStyle w:val="ListParagraph"/>
        <w:spacing w:after="0" w:line="240" w:lineRule="auto"/>
        <w:ind w:left="1440"/>
        <w:contextualSpacing w:val="0"/>
      </w:pPr>
    </w:p>
    <w:p w:rsidR="00F941E6" w:rsidRDefault="00F941E6" w:rsidP="00F941E6">
      <w:pPr>
        <w:pStyle w:val="ListParagraph"/>
        <w:spacing w:after="0" w:line="240" w:lineRule="auto"/>
        <w:ind w:left="1440"/>
        <w:contextualSpacing w:val="0"/>
      </w:pPr>
      <w:r>
        <w:t xml:space="preserve"> </w:t>
      </w:r>
    </w:p>
    <w:p w:rsidR="00F941E6" w:rsidRDefault="00F941E6" w:rsidP="00F941E6">
      <w:pPr>
        <w:pStyle w:val="ListParagraph"/>
        <w:ind w:left="1440"/>
      </w:pPr>
    </w:p>
    <w:p w:rsidR="00F941E6" w:rsidRDefault="00F941E6" w:rsidP="00F941E6">
      <w:pPr>
        <w:pStyle w:val="ListParagraph"/>
        <w:spacing w:after="0" w:line="240" w:lineRule="auto"/>
        <w:ind w:left="2160"/>
        <w:contextualSpacing w:val="0"/>
      </w:pPr>
    </w:p>
    <w:p w:rsidR="00AA2AB9" w:rsidRPr="00AA2AB9" w:rsidRDefault="00AA2AB9" w:rsidP="00AA2AB9">
      <w:pPr>
        <w:ind w:firstLine="720"/>
        <w:rPr>
          <w:b/>
        </w:rPr>
      </w:pPr>
      <w:r w:rsidRPr="00AA2AB9">
        <w:rPr>
          <w:b/>
        </w:rPr>
        <w:lastRenderedPageBreak/>
        <w:t>Syllabus</w:t>
      </w:r>
    </w:p>
    <w:tbl>
      <w:tblPr>
        <w:tblStyle w:val="TableGrid"/>
        <w:tblW w:w="0" w:type="auto"/>
        <w:tblInd w:w="1080" w:type="dxa"/>
        <w:tblLook w:val="04A0" w:firstRow="1" w:lastRow="0" w:firstColumn="1" w:lastColumn="0" w:noHBand="0" w:noVBand="1"/>
      </w:tblPr>
      <w:tblGrid>
        <w:gridCol w:w="1133"/>
        <w:gridCol w:w="6063"/>
        <w:gridCol w:w="523"/>
      </w:tblGrid>
      <w:tr w:rsidR="00AA2AB9" w:rsidTr="00B72F3E">
        <w:tc>
          <w:tcPr>
            <w:tcW w:w="1133" w:type="dxa"/>
          </w:tcPr>
          <w:p w:rsidR="00AA2AB9" w:rsidRPr="00EA5072" w:rsidRDefault="00AA2AB9" w:rsidP="00B72F3E">
            <w:pPr>
              <w:rPr>
                <w:rFonts w:ascii="Times New Roman" w:hAnsi="Times New Roman" w:cs="Times New Roman"/>
              </w:rPr>
            </w:pPr>
            <w:r>
              <w:rPr>
                <w:rFonts w:ascii="Times New Roman" w:hAnsi="Times New Roman" w:cs="Times New Roman"/>
              </w:rPr>
              <w:t>Logistics</w:t>
            </w:r>
          </w:p>
        </w:tc>
        <w:tc>
          <w:tcPr>
            <w:tcW w:w="6063" w:type="dxa"/>
          </w:tcPr>
          <w:p w:rsidR="00AA2AB9" w:rsidRPr="00EA5072" w:rsidRDefault="00AA2AB9" w:rsidP="00B72F3E">
            <w:pPr>
              <w:rPr>
                <w:rFonts w:ascii="Times New Roman" w:hAnsi="Times New Roman" w:cs="Times New Roman"/>
              </w:rPr>
            </w:pPr>
          </w:p>
        </w:tc>
        <w:tc>
          <w:tcPr>
            <w:tcW w:w="523" w:type="dxa"/>
          </w:tcPr>
          <w:p w:rsidR="00AA2AB9" w:rsidRPr="00EA5072" w:rsidRDefault="00AA2AB9" w:rsidP="00B72F3E">
            <w:pPr>
              <w:rPr>
                <w:rFonts w:ascii="Times New Roman" w:hAnsi="Times New Roman" w:cs="Times New Roman"/>
              </w:rPr>
            </w:pP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Pr="00EA5072" w:rsidRDefault="00AA2AB9" w:rsidP="00B72F3E">
            <w:pPr>
              <w:rPr>
                <w:rFonts w:ascii="Times New Roman" w:hAnsi="Times New Roman" w:cs="Times New Roman"/>
              </w:rPr>
            </w:pPr>
            <w:r>
              <w:rPr>
                <w:rFonts w:ascii="Times New Roman" w:hAnsi="Times New Roman" w:cs="Times New Roman"/>
              </w:rPr>
              <w:t>Instructor contact information</w:t>
            </w:r>
          </w:p>
        </w:tc>
        <w:tc>
          <w:tcPr>
            <w:tcW w:w="523" w:type="dxa"/>
          </w:tcPr>
          <w:p w:rsidR="00AA2AB9" w:rsidRPr="00EA5072"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Pr="00EA5072" w:rsidRDefault="00AA2AB9" w:rsidP="00B72F3E">
            <w:pPr>
              <w:rPr>
                <w:rFonts w:ascii="Times New Roman" w:hAnsi="Times New Roman" w:cs="Times New Roman"/>
              </w:rPr>
            </w:pPr>
            <w:r>
              <w:rPr>
                <w:rFonts w:ascii="Times New Roman" w:hAnsi="Times New Roman" w:cs="Times New Roman"/>
              </w:rPr>
              <w:t>Course Prefix and number, title, number of credits, pre-requisites</w:t>
            </w:r>
          </w:p>
        </w:tc>
        <w:tc>
          <w:tcPr>
            <w:tcW w:w="523" w:type="dxa"/>
          </w:tcPr>
          <w:p w:rsidR="00AA2AB9" w:rsidRPr="00EA5072" w:rsidRDefault="00AA4738"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Meeting schedules and times and building/rooms</w:t>
            </w:r>
          </w:p>
        </w:tc>
        <w:tc>
          <w:tcPr>
            <w:tcW w:w="523" w:type="dxa"/>
          </w:tcPr>
          <w:p w:rsidR="00AA2AB9" w:rsidRPr="00EA5072" w:rsidRDefault="00AA4738" w:rsidP="00B72F3E">
            <w:pPr>
              <w:rPr>
                <w:rFonts w:ascii="Times New Roman" w:hAnsi="Times New Roman" w:cs="Times New Roman"/>
                <w:b/>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List of required and recommended reading materials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Pr="00EA5072" w:rsidRDefault="00AA2AB9" w:rsidP="00B72F3E">
            <w:pPr>
              <w:rPr>
                <w:rFonts w:ascii="Times New Roman" w:hAnsi="Times New Roman" w:cs="Times New Roman"/>
              </w:rPr>
            </w:pPr>
            <w:r>
              <w:rPr>
                <w:rFonts w:ascii="Times New Roman" w:hAnsi="Times New Roman" w:cs="Times New Roman"/>
              </w:rPr>
              <w:t>Content</w:t>
            </w:r>
          </w:p>
        </w:tc>
        <w:tc>
          <w:tcPr>
            <w:tcW w:w="6063" w:type="dxa"/>
          </w:tcPr>
          <w:p w:rsidR="00AA2AB9" w:rsidRDefault="00AA2AB9" w:rsidP="00B72F3E">
            <w:pPr>
              <w:rPr>
                <w:rFonts w:ascii="Times New Roman" w:hAnsi="Times New Roman" w:cs="Times New Roman"/>
              </w:rPr>
            </w:pP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Student learning outcomes and method for assessing</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Week to week course outline</w:t>
            </w:r>
          </w:p>
        </w:tc>
        <w:tc>
          <w:tcPr>
            <w:tcW w:w="523" w:type="dxa"/>
          </w:tcPr>
          <w:p w:rsidR="00AA2AB9" w:rsidRDefault="004E55C1"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Descriptions of required assignments</w:t>
            </w:r>
          </w:p>
        </w:tc>
        <w:tc>
          <w:tcPr>
            <w:tcW w:w="523" w:type="dxa"/>
          </w:tcPr>
          <w:p w:rsidR="00AA2AB9" w:rsidRDefault="00C721A2"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r>
              <w:rPr>
                <w:rFonts w:ascii="Times New Roman" w:hAnsi="Times New Roman" w:cs="Times New Roman"/>
              </w:rPr>
              <w:t xml:space="preserve">Grading </w:t>
            </w:r>
          </w:p>
        </w:tc>
        <w:tc>
          <w:tcPr>
            <w:tcW w:w="6063" w:type="dxa"/>
          </w:tcPr>
          <w:p w:rsidR="00AA2AB9" w:rsidRDefault="00AA2AB9" w:rsidP="00B72F3E">
            <w:pPr>
              <w:rPr>
                <w:rFonts w:ascii="Times New Roman" w:hAnsi="Times New Roman" w:cs="Times New Roman"/>
              </w:rPr>
            </w:pP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Relative weighting of required assignments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Penalties for late assignments</w:t>
            </w: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Grading criteria</w:t>
            </w: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Composition of midterm and final grades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Attendance or participation policies</w:t>
            </w: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r>
              <w:rPr>
                <w:rFonts w:ascii="Times New Roman" w:hAnsi="Times New Roman" w:cs="Times New Roman"/>
              </w:rPr>
              <w:t>Policy</w:t>
            </w:r>
          </w:p>
        </w:tc>
        <w:tc>
          <w:tcPr>
            <w:tcW w:w="6063" w:type="dxa"/>
          </w:tcPr>
          <w:p w:rsidR="00AA2AB9" w:rsidRDefault="00AA2AB9" w:rsidP="00B72F3E">
            <w:pPr>
              <w:rPr>
                <w:rFonts w:ascii="Times New Roman" w:hAnsi="Times New Roman" w:cs="Times New Roman"/>
              </w:rPr>
            </w:pPr>
          </w:p>
        </w:tc>
        <w:tc>
          <w:tcPr>
            <w:tcW w:w="523" w:type="dxa"/>
          </w:tcPr>
          <w:p w:rsidR="00AA2AB9" w:rsidRDefault="00AA2AB9" w:rsidP="00B72F3E">
            <w:pPr>
              <w:rPr>
                <w:rFonts w:ascii="Times New Roman" w:hAnsi="Times New Roman" w:cs="Times New Roman"/>
              </w:rPr>
            </w:pP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Accommodating students with disabilities</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Campus safety plan statement</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r w:rsidR="00AA2AB9" w:rsidTr="00B72F3E">
        <w:tc>
          <w:tcPr>
            <w:tcW w:w="1133" w:type="dxa"/>
          </w:tcPr>
          <w:p w:rsidR="00AA2AB9" w:rsidRDefault="00AA2AB9" w:rsidP="00B72F3E">
            <w:pPr>
              <w:rPr>
                <w:rFonts w:ascii="Times New Roman" w:hAnsi="Times New Roman" w:cs="Times New Roman"/>
              </w:rPr>
            </w:pPr>
          </w:p>
        </w:tc>
        <w:tc>
          <w:tcPr>
            <w:tcW w:w="6063" w:type="dxa"/>
          </w:tcPr>
          <w:p w:rsidR="00AA2AB9" w:rsidRDefault="00AA2AB9" w:rsidP="00B72F3E">
            <w:pPr>
              <w:rPr>
                <w:rFonts w:ascii="Times New Roman" w:hAnsi="Times New Roman" w:cs="Times New Roman"/>
              </w:rPr>
            </w:pPr>
            <w:r>
              <w:rPr>
                <w:rFonts w:ascii="Times New Roman" w:hAnsi="Times New Roman" w:cs="Times New Roman"/>
              </w:rPr>
              <w:t>Academic integrity</w:t>
            </w:r>
          </w:p>
        </w:tc>
        <w:tc>
          <w:tcPr>
            <w:tcW w:w="523" w:type="dxa"/>
          </w:tcPr>
          <w:p w:rsidR="00AA2AB9" w:rsidRDefault="00AA2AB9" w:rsidP="00B72F3E">
            <w:pPr>
              <w:rPr>
                <w:rFonts w:ascii="Times New Roman" w:hAnsi="Times New Roman" w:cs="Times New Roman"/>
              </w:rPr>
            </w:pPr>
            <w:r>
              <w:rPr>
                <w:rFonts w:ascii="Times New Roman" w:hAnsi="Times New Roman" w:cs="Times New Roman"/>
              </w:rPr>
              <w:sym w:font="Wingdings" w:char="F0FE"/>
            </w:r>
          </w:p>
        </w:tc>
      </w:tr>
    </w:tbl>
    <w:p w:rsidR="00C347A2" w:rsidRDefault="00C347A2" w:rsidP="00C347A2">
      <w:pPr>
        <w:pStyle w:val="ListParagraph"/>
        <w:ind w:left="1440"/>
      </w:pPr>
    </w:p>
    <w:p w:rsidR="00A02CD6" w:rsidRDefault="0020201A" w:rsidP="00C347A2">
      <w:pPr>
        <w:pStyle w:val="ListParagraph"/>
        <w:numPr>
          <w:ilvl w:val="0"/>
          <w:numId w:val="2"/>
        </w:numPr>
      </w:pPr>
      <w:r>
        <w:t xml:space="preserve">The syllabus submitted for review is </w:t>
      </w:r>
      <w:r w:rsidR="00C721A2">
        <w:t>an example or</w:t>
      </w:r>
      <w:r>
        <w:t xml:space="preserve"> template for </w:t>
      </w:r>
      <w:r w:rsidR="00C721A2">
        <w:t>other special topics courses</w:t>
      </w:r>
      <w:r>
        <w:t xml:space="preserve"> in the program. We reviewed a topics seminar called “</w:t>
      </w:r>
      <w:r w:rsidR="00C721A2">
        <w:t>Topics in Plan Pathology,”</w:t>
      </w:r>
      <w:r>
        <w:t xml:space="preserve"> which was a 1-credit seminar.</w:t>
      </w:r>
    </w:p>
    <w:p w:rsidR="00C721A2" w:rsidRDefault="00C721A2" w:rsidP="00C347A2">
      <w:pPr>
        <w:pStyle w:val="ListParagraph"/>
        <w:numPr>
          <w:ilvl w:val="0"/>
          <w:numId w:val="2"/>
        </w:numPr>
      </w:pPr>
      <w:r>
        <w:t>No prerequisites are listed.</w:t>
      </w:r>
    </w:p>
    <w:p w:rsidR="00C721A2" w:rsidRDefault="00C721A2" w:rsidP="00C347A2">
      <w:pPr>
        <w:pStyle w:val="ListParagraph"/>
        <w:numPr>
          <w:ilvl w:val="0"/>
          <w:numId w:val="2"/>
        </w:numPr>
      </w:pPr>
      <w:r>
        <w:t xml:space="preserve">Penalties for late assignments are not discussed.  The primary requirement is to lead discussion, which entails submitting a list of </w:t>
      </w:r>
      <w:r w:rsidR="00560E86">
        <w:t>“study</w:t>
      </w:r>
      <w:r>
        <w:t xml:space="preserve"> questions</w:t>
      </w:r>
      <w:r w:rsidR="00560E86">
        <w:t>”</w:t>
      </w:r>
      <w:r>
        <w:t xml:space="preserve"> one week in advance of the seminar, presenting a 15-20 minute overview of the paper, and facilitating discussion of the paper.  </w:t>
      </w:r>
    </w:p>
    <w:p w:rsidR="00C721A2" w:rsidRDefault="00C721A2" w:rsidP="00C347A2">
      <w:pPr>
        <w:pStyle w:val="ListParagraph"/>
        <w:numPr>
          <w:ilvl w:val="0"/>
          <w:numId w:val="2"/>
        </w:numPr>
      </w:pPr>
      <w:r>
        <w:t xml:space="preserve">No criteria are identified to evaluate (grade) participation in discussion.  </w:t>
      </w:r>
      <w:r w:rsidR="00560E86">
        <w:t xml:space="preserve">An unexcused absence will result in a loss of 5 (of 50) participation points.  No other standards for earning </w:t>
      </w:r>
      <w:r w:rsidR="00F941E6">
        <w:t xml:space="preserve">participation </w:t>
      </w:r>
      <w:r w:rsidR="00560E86">
        <w:t>points are identified.</w:t>
      </w:r>
    </w:p>
    <w:p w:rsidR="00560E86" w:rsidRDefault="00560E86" w:rsidP="00C347A2">
      <w:pPr>
        <w:pStyle w:val="ListParagraph"/>
        <w:numPr>
          <w:ilvl w:val="0"/>
          <w:numId w:val="2"/>
        </w:numPr>
      </w:pPr>
      <w:r>
        <w:t xml:space="preserve">No criteria are identified to evaluate class presentation and leading discussion.  It is stated that students will do this once.  Will the course be cancelled if enrollment is not sufficient to cover all topics (n=9 in example syllabus)? </w:t>
      </w:r>
      <w:r w:rsidR="00F941E6">
        <w:t>Or will some students have this responsibility multiple times?</w:t>
      </w:r>
    </w:p>
    <w:p w:rsidR="007F26D0" w:rsidRDefault="00560E86" w:rsidP="00C347A2">
      <w:pPr>
        <w:pStyle w:val="ListParagraph"/>
        <w:numPr>
          <w:ilvl w:val="0"/>
          <w:numId w:val="2"/>
        </w:numPr>
      </w:pPr>
      <w:r>
        <w:t>It is not clear what format the two exams will take, which together comprise 50% of the grade.  No final exam is scheduled in the course topic outline.  Will it occur during finals week?</w:t>
      </w:r>
    </w:p>
    <w:p w:rsidR="00560E86" w:rsidRDefault="00560E86" w:rsidP="00F941E6">
      <w:pPr>
        <w:ind w:left="1080"/>
      </w:pPr>
    </w:p>
    <w:p w:rsidR="00F941E6" w:rsidRDefault="00F941E6" w:rsidP="00F941E6">
      <w:pPr>
        <w:ind w:left="1080"/>
      </w:pPr>
    </w:p>
    <w:p w:rsidR="00F941E6" w:rsidRPr="00F941E6" w:rsidRDefault="00AA2AB9" w:rsidP="00F941E6">
      <w:pPr>
        <w:ind w:firstLine="720"/>
        <w:rPr>
          <w:b/>
        </w:rPr>
      </w:pPr>
      <w:r w:rsidRPr="00AA2AB9">
        <w:rPr>
          <w:b/>
        </w:rPr>
        <w:lastRenderedPageBreak/>
        <w:t>Reviewer’s Final Assessment</w:t>
      </w:r>
    </w:p>
    <w:p w:rsidR="004E55C1" w:rsidRPr="00F941E6" w:rsidRDefault="00FF5495" w:rsidP="00A02CD6">
      <w:pPr>
        <w:pStyle w:val="ListParagraph"/>
        <w:numPr>
          <w:ilvl w:val="0"/>
          <w:numId w:val="4"/>
        </w:numPr>
        <w:rPr>
          <w:b/>
        </w:rPr>
      </w:pPr>
      <w:r>
        <w:t xml:space="preserve">Students may take up to </w:t>
      </w:r>
      <w:r w:rsidR="00C721A2">
        <w:t>6</w:t>
      </w:r>
      <w:r>
        <w:t xml:space="preserve"> credits of the special topics courses. Courses are variable 1-</w:t>
      </w:r>
      <w:r w:rsidR="00C721A2">
        <w:t>3</w:t>
      </w:r>
      <w:r>
        <w:t xml:space="preserve"> credits. The reviewed syllabus was a 1-credit course. Would any of the topics courses be 3? What would the course requirements and student prod</w:t>
      </w:r>
      <w:r w:rsidR="00C721A2">
        <w:t>ucts look like in a 2- or</w:t>
      </w:r>
      <w:r>
        <w:t xml:space="preserve"> 3- credit course?</w:t>
      </w:r>
    </w:p>
    <w:p w:rsidR="00F941E6" w:rsidRPr="00F941E6" w:rsidRDefault="00F941E6" w:rsidP="00A02CD6">
      <w:pPr>
        <w:pStyle w:val="ListParagraph"/>
        <w:numPr>
          <w:ilvl w:val="0"/>
          <w:numId w:val="4"/>
        </w:numPr>
        <w:rPr>
          <w:b/>
        </w:rPr>
      </w:pPr>
      <w:r>
        <w:t>Grading criteria for participation and leading discussion should be made more explicit.</w:t>
      </w:r>
    </w:p>
    <w:p w:rsidR="00F941E6" w:rsidRPr="00A02CD6" w:rsidRDefault="00F941E6" w:rsidP="00A02CD6">
      <w:pPr>
        <w:pStyle w:val="ListParagraph"/>
        <w:numPr>
          <w:ilvl w:val="0"/>
          <w:numId w:val="4"/>
        </w:numPr>
        <w:rPr>
          <w:b/>
        </w:rPr>
      </w:pPr>
      <w:r>
        <w:t xml:space="preserve">Status of faculty who might teach this course should be more fully articulated and consistent with Graduate School policies and best practices.  </w:t>
      </w:r>
    </w:p>
    <w:p w:rsidR="00AA2AB9" w:rsidRDefault="00AA2AB9">
      <w:pPr>
        <w:rPr>
          <w:u w:val="single"/>
        </w:rPr>
      </w:pPr>
      <w:r>
        <w:rPr>
          <w:u w:val="single"/>
        </w:rPr>
        <w:t>The Motions</w:t>
      </w:r>
    </w:p>
    <w:p w:rsidR="00680E98" w:rsidRPr="00680E98" w:rsidRDefault="00680E98" w:rsidP="00680E98">
      <w:pPr>
        <w:pStyle w:val="ListParagraph"/>
        <w:numPr>
          <w:ilvl w:val="0"/>
          <w:numId w:val="4"/>
        </w:numPr>
        <w:rPr>
          <w:u w:val="single"/>
        </w:rPr>
      </w:pPr>
      <w:r>
        <w:t xml:space="preserve">We move </w:t>
      </w:r>
      <w:r w:rsidR="00FF5495">
        <w:t xml:space="preserve">that </w:t>
      </w:r>
      <w:r w:rsidR="00F941E6">
        <w:t>PLP 512</w:t>
      </w:r>
      <w:r w:rsidR="00FF5495">
        <w:t xml:space="preserve"> be revised</w:t>
      </w:r>
      <w:r w:rsidR="00FA777B">
        <w:t xml:space="preserve"> </w:t>
      </w:r>
      <w:r w:rsidR="00F941E6">
        <w:t xml:space="preserve">to address </w:t>
      </w:r>
      <w:r w:rsidR="004A2C93">
        <w:t>reviewer concerns about 2- and 3- credit offerings, explicit grading criteria, and faculty status of instructors</w:t>
      </w:r>
      <w:bookmarkStart w:id="0" w:name="_GoBack"/>
      <w:bookmarkEnd w:id="0"/>
      <w:r w:rsidR="00FA777B">
        <w:t>.</w:t>
      </w:r>
    </w:p>
    <w:sectPr w:rsidR="00680E98" w:rsidRPr="00680E98" w:rsidSect="00194AE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93" w:rsidRDefault="00512A93" w:rsidP="00AA2AB9">
      <w:pPr>
        <w:spacing w:after="0" w:line="240" w:lineRule="auto"/>
      </w:pPr>
      <w:r>
        <w:separator/>
      </w:r>
    </w:p>
  </w:endnote>
  <w:endnote w:type="continuationSeparator" w:id="0">
    <w:p w:rsidR="00512A93" w:rsidRDefault="00512A93" w:rsidP="00A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93" w:rsidRDefault="00512A93" w:rsidP="00AA2AB9">
      <w:pPr>
        <w:spacing w:after="0" w:line="240" w:lineRule="auto"/>
      </w:pPr>
      <w:r>
        <w:separator/>
      </w:r>
    </w:p>
  </w:footnote>
  <w:footnote w:type="continuationSeparator" w:id="0">
    <w:p w:rsidR="00512A93" w:rsidRDefault="00512A93" w:rsidP="00AA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144"/>
      <w:gridCol w:w="2600"/>
      <w:gridCol w:w="2416"/>
      <w:gridCol w:w="2416"/>
    </w:tblGrid>
    <w:tr w:rsidR="00AA2AB9" w:rsidTr="00B72F3E">
      <w:tc>
        <w:tcPr>
          <w:tcW w:w="2144" w:type="dxa"/>
          <w:shd w:val="clear" w:color="auto" w:fill="D9D9D9" w:themeFill="background1" w:themeFillShade="D9"/>
        </w:tcPr>
        <w:p w:rsidR="00AA2AB9" w:rsidRDefault="00AA2AB9" w:rsidP="00AA2AB9">
          <w:pPr>
            <w:pStyle w:val="Header"/>
          </w:pPr>
          <w:r>
            <w:t>Course Review:</w:t>
          </w:r>
        </w:p>
      </w:tc>
      <w:tc>
        <w:tcPr>
          <w:tcW w:w="2600" w:type="dxa"/>
        </w:tcPr>
        <w:p w:rsidR="00AA2AB9" w:rsidRDefault="008C57A4" w:rsidP="008C57A4">
          <w:pPr>
            <w:pStyle w:val="Header"/>
          </w:pPr>
          <w:r>
            <w:t>PLP 512</w:t>
          </w:r>
          <w:r w:rsidR="00AA2AB9">
            <w:t>:</w:t>
          </w:r>
          <w:r>
            <w:t xml:space="preserve"> Topics in Plant Pathology</w:t>
          </w:r>
          <w:r w:rsidR="00AA2AB9">
            <w:t xml:space="preserve"> </w:t>
          </w:r>
        </w:p>
      </w:tc>
      <w:tc>
        <w:tcPr>
          <w:tcW w:w="2416" w:type="dxa"/>
          <w:shd w:val="clear" w:color="auto" w:fill="D9D9D9" w:themeFill="background1" w:themeFillShade="D9"/>
        </w:tcPr>
        <w:p w:rsidR="00AA2AB9" w:rsidRDefault="00AA2AB9" w:rsidP="00AA2AB9">
          <w:pPr>
            <w:pStyle w:val="Header"/>
          </w:pPr>
          <w:r>
            <w:t>Contact:</w:t>
          </w:r>
        </w:p>
      </w:tc>
      <w:tc>
        <w:tcPr>
          <w:tcW w:w="2416" w:type="dxa"/>
        </w:tcPr>
        <w:p w:rsidR="00AA2AB9" w:rsidRDefault="008C57A4" w:rsidP="00A50567">
          <w:pPr>
            <w:pStyle w:val="Header"/>
          </w:pPr>
          <w:r>
            <w:t>Scot Hulbert</w:t>
          </w:r>
        </w:p>
        <w:p w:rsidR="008C57A4" w:rsidRDefault="008C57A4" w:rsidP="00A50567">
          <w:pPr>
            <w:pStyle w:val="Header"/>
          </w:pPr>
          <w:r>
            <w:t xml:space="preserve">5-4504 </w:t>
          </w:r>
          <w:hyperlink r:id="rId1" w:history="1">
            <w:r w:rsidRPr="0019212C">
              <w:rPr>
                <w:rStyle w:val="Hyperlink"/>
              </w:rPr>
              <w:t>scot_hulbert@wsu.edu</w:t>
            </w:r>
          </w:hyperlink>
          <w:r>
            <w:t xml:space="preserve"> </w:t>
          </w:r>
        </w:p>
      </w:tc>
    </w:tr>
    <w:tr w:rsidR="00AA2AB9" w:rsidTr="00B72F3E">
      <w:tc>
        <w:tcPr>
          <w:tcW w:w="2144" w:type="dxa"/>
          <w:shd w:val="clear" w:color="auto" w:fill="D9D9D9" w:themeFill="background1" w:themeFillShade="D9"/>
        </w:tcPr>
        <w:p w:rsidR="00AA2AB9" w:rsidRDefault="00AA2AB9" w:rsidP="00AA2AB9">
          <w:pPr>
            <w:pStyle w:val="Header"/>
          </w:pPr>
          <w:r>
            <w:t>Reviewer</w:t>
          </w:r>
          <w:r w:rsidR="00F941E6">
            <w:t>s</w:t>
          </w:r>
          <w:r>
            <w:t>:</w:t>
          </w:r>
        </w:p>
      </w:tc>
      <w:tc>
        <w:tcPr>
          <w:tcW w:w="2600" w:type="dxa"/>
        </w:tcPr>
        <w:p w:rsidR="00A50567" w:rsidRDefault="008C57A4" w:rsidP="00AA2AB9">
          <w:pPr>
            <w:pStyle w:val="Header"/>
          </w:pPr>
          <w:r>
            <w:t>Jennifer Schwartz</w:t>
          </w:r>
        </w:p>
        <w:p w:rsidR="008C57A4" w:rsidRDefault="008C57A4" w:rsidP="00AA2AB9">
          <w:pPr>
            <w:pStyle w:val="Header"/>
          </w:pPr>
          <w:r>
            <w:t>Chris Campbell</w:t>
          </w:r>
        </w:p>
      </w:tc>
      <w:tc>
        <w:tcPr>
          <w:tcW w:w="2416" w:type="dxa"/>
          <w:shd w:val="clear" w:color="auto" w:fill="D9D9D9" w:themeFill="background1" w:themeFillShade="D9"/>
        </w:tcPr>
        <w:p w:rsidR="00AA2AB9" w:rsidRDefault="00AA2AB9" w:rsidP="00AA2AB9">
          <w:pPr>
            <w:pStyle w:val="Header"/>
          </w:pPr>
          <w:r>
            <w:t>Review Date:</w:t>
          </w:r>
        </w:p>
      </w:tc>
      <w:tc>
        <w:tcPr>
          <w:tcW w:w="2416" w:type="dxa"/>
        </w:tcPr>
        <w:p w:rsidR="00AA2AB9" w:rsidRDefault="008C57A4" w:rsidP="00AA2AB9">
          <w:pPr>
            <w:pStyle w:val="Header"/>
          </w:pPr>
          <w:r>
            <w:t>17 February 2015</w:t>
          </w:r>
        </w:p>
      </w:tc>
    </w:tr>
  </w:tbl>
  <w:p w:rsidR="00AA2AB9" w:rsidRDefault="00AA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721AF"/>
    <w:multiLevelType w:val="hybridMultilevel"/>
    <w:tmpl w:val="7FC4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631B11"/>
    <w:multiLevelType w:val="hybridMultilevel"/>
    <w:tmpl w:val="117ACCE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0F75BCB"/>
    <w:multiLevelType w:val="hybridMultilevel"/>
    <w:tmpl w:val="A456E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C114DA6"/>
    <w:multiLevelType w:val="hybridMultilevel"/>
    <w:tmpl w:val="67AC9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E8276C1"/>
    <w:multiLevelType w:val="hybridMultilevel"/>
    <w:tmpl w:val="37065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2CB"/>
    <w:rsid w:val="000A5236"/>
    <w:rsid w:val="000F6CBC"/>
    <w:rsid w:val="00194AE3"/>
    <w:rsid w:val="0020201A"/>
    <w:rsid w:val="00246D5B"/>
    <w:rsid w:val="002A6DEE"/>
    <w:rsid w:val="002F12CB"/>
    <w:rsid w:val="004830A5"/>
    <w:rsid w:val="004A0E05"/>
    <w:rsid w:val="004A2C93"/>
    <w:rsid w:val="004B4420"/>
    <w:rsid w:val="004E55C1"/>
    <w:rsid w:val="00512A93"/>
    <w:rsid w:val="005444EB"/>
    <w:rsid w:val="00560E86"/>
    <w:rsid w:val="00575F01"/>
    <w:rsid w:val="0065290C"/>
    <w:rsid w:val="00680E98"/>
    <w:rsid w:val="006A4C71"/>
    <w:rsid w:val="007F26D0"/>
    <w:rsid w:val="008C57A4"/>
    <w:rsid w:val="00934005"/>
    <w:rsid w:val="00950F37"/>
    <w:rsid w:val="00A02CD6"/>
    <w:rsid w:val="00A450CE"/>
    <w:rsid w:val="00A50567"/>
    <w:rsid w:val="00AA2AB9"/>
    <w:rsid w:val="00AA4738"/>
    <w:rsid w:val="00B12258"/>
    <w:rsid w:val="00BF63E8"/>
    <w:rsid w:val="00C347A2"/>
    <w:rsid w:val="00C721A2"/>
    <w:rsid w:val="00CC0280"/>
    <w:rsid w:val="00D07215"/>
    <w:rsid w:val="00D219E6"/>
    <w:rsid w:val="00D43190"/>
    <w:rsid w:val="00EA3AD1"/>
    <w:rsid w:val="00EE480A"/>
    <w:rsid w:val="00F90D12"/>
    <w:rsid w:val="00F941E6"/>
    <w:rsid w:val="00FA777B"/>
    <w:rsid w:val="00FF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2CF86-C5EF-4876-A721-EF84A023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9"/>
  </w:style>
  <w:style w:type="paragraph" w:styleId="Footer">
    <w:name w:val="footer"/>
    <w:basedOn w:val="Normal"/>
    <w:link w:val="FooterChar"/>
    <w:uiPriority w:val="99"/>
    <w:unhideWhenUsed/>
    <w:rsid w:val="00A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9"/>
  </w:style>
  <w:style w:type="table" w:styleId="TableGrid">
    <w:name w:val="Table Grid"/>
    <w:basedOn w:val="TableNormal"/>
    <w:uiPriority w:val="59"/>
    <w:rsid w:val="00AA2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AB9"/>
    <w:rPr>
      <w:color w:val="0563C1" w:themeColor="hyperlink"/>
      <w:u w:val="single"/>
    </w:rPr>
  </w:style>
  <w:style w:type="paragraph" w:styleId="ListParagraph">
    <w:name w:val="List Paragraph"/>
    <w:basedOn w:val="Normal"/>
    <w:uiPriority w:val="34"/>
    <w:qFormat/>
    <w:rsid w:val="004B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51762">
      <w:bodyDiv w:val="1"/>
      <w:marLeft w:val="0"/>
      <w:marRight w:val="0"/>
      <w:marTop w:val="0"/>
      <w:marBottom w:val="0"/>
      <w:divBdr>
        <w:top w:val="none" w:sz="0" w:space="0" w:color="auto"/>
        <w:left w:val="none" w:sz="0" w:space="0" w:color="auto"/>
        <w:bottom w:val="none" w:sz="0" w:space="0" w:color="auto"/>
        <w:right w:val="none" w:sz="0" w:space="0" w:color="auto"/>
      </w:divBdr>
    </w:div>
    <w:div w:id="18787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cot_hulbert@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Salsbury, Thomas Lee</dc:creator>
  <cp:lastModifiedBy>Schwartz, Jennifer</cp:lastModifiedBy>
  <cp:revision>3</cp:revision>
  <dcterms:created xsi:type="dcterms:W3CDTF">2015-02-17T07:33:00Z</dcterms:created>
  <dcterms:modified xsi:type="dcterms:W3CDTF">2015-02-17T17:56:00Z</dcterms:modified>
</cp:coreProperties>
</file>